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C776" w14:textId="5CE1D0D3" w:rsidR="00960D5F" w:rsidRDefault="00960D5F" w:rsidP="00581F28">
      <w:pPr>
        <w:spacing w:line="256" w:lineRule="auto"/>
        <w:jc w:val="center"/>
        <w:rPr>
          <w:rFonts w:ascii="Calibri" w:eastAsia="Calibri" w:hAnsi="Calibri" w:cs="Times New Roman"/>
          <w:b/>
          <w:bCs/>
          <w:color w:val="4472C4" w:themeColor="accent1"/>
          <w:sz w:val="20"/>
          <w:szCs w:val="20"/>
        </w:rPr>
      </w:pPr>
      <w:r>
        <w:rPr>
          <w:rFonts w:ascii="Calibri" w:eastAsia="Calibri" w:hAnsi="Calibri" w:cs="Times New Roman"/>
          <w:b/>
          <w:bCs/>
          <w:color w:val="4472C4" w:themeColor="accent1"/>
          <w:sz w:val="20"/>
          <w:szCs w:val="20"/>
        </w:rPr>
        <w:t xml:space="preserve">Annexe 1 </w:t>
      </w:r>
      <w:r w:rsidR="00C854C6">
        <w:rPr>
          <w:rFonts w:ascii="Calibri" w:eastAsia="Calibri" w:hAnsi="Calibri" w:cs="Times New Roman"/>
          <w:b/>
          <w:bCs/>
          <w:color w:val="4472C4" w:themeColor="accent1"/>
          <w:sz w:val="20"/>
          <w:szCs w:val="20"/>
        </w:rPr>
        <w:t>–</w:t>
      </w:r>
      <w:r>
        <w:rPr>
          <w:rFonts w:ascii="Calibri" w:eastAsia="Calibri" w:hAnsi="Calibri" w:cs="Times New Roman"/>
          <w:b/>
          <w:bCs/>
          <w:color w:val="4472C4" w:themeColor="accent1"/>
          <w:sz w:val="20"/>
          <w:szCs w:val="20"/>
        </w:rPr>
        <w:t xml:space="preserve"> Electricité</w:t>
      </w:r>
    </w:p>
    <w:p w14:paraId="586C33A2" w14:textId="4408E7EA" w:rsidR="006A2D41" w:rsidRPr="006A2D41" w:rsidRDefault="006A2D41" w:rsidP="00581F28">
      <w:pPr>
        <w:spacing w:line="256" w:lineRule="auto"/>
        <w:jc w:val="center"/>
        <w:rPr>
          <w:rFonts w:ascii="Calibri" w:eastAsia="Calibri" w:hAnsi="Calibri" w:cs="Times New Roman"/>
          <w:b/>
          <w:bCs/>
          <w:color w:val="4472C4" w:themeColor="accent1"/>
          <w:sz w:val="20"/>
          <w:szCs w:val="20"/>
        </w:rPr>
      </w:pPr>
      <w:r w:rsidRPr="006A2D41">
        <w:rPr>
          <w:rFonts w:ascii="Calibri" w:eastAsia="Calibri" w:hAnsi="Calibri" w:cs="Times New Roman"/>
          <w:b/>
          <w:bCs/>
          <w:color w:val="4472C4" w:themeColor="accent1"/>
          <w:sz w:val="20"/>
          <w:szCs w:val="20"/>
        </w:rPr>
        <w:t xml:space="preserve">APPEL PUBLIC A CANDIDATURE POUR LE RENOUVELLEMENT DE GESTIONNAIRE DE RESEAU DE DISTRIBUTION EN ELECTRICITE POUR LA </w:t>
      </w:r>
      <w:r w:rsidR="003265D9">
        <w:rPr>
          <w:rFonts w:ascii="Calibri" w:eastAsia="Calibri" w:hAnsi="Calibri" w:cs="Times New Roman"/>
          <w:b/>
          <w:bCs/>
          <w:color w:val="4472C4" w:themeColor="accent1"/>
          <w:sz w:val="20"/>
          <w:szCs w:val="20"/>
        </w:rPr>
        <w:t>VILLE DE SPA</w:t>
      </w:r>
    </w:p>
    <w:p w14:paraId="56D69946" w14:textId="1CE77070" w:rsidR="006A2D41" w:rsidRPr="006A2D41" w:rsidRDefault="006A2D41" w:rsidP="006A2D41">
      <w:pPr>
        <w:spacing w:line="256" w:lineRule="auto"/>
        <w:rPr>
          <w:rFonts w:ascii="Calibri" w:eastAsia="Calibri" w:hAnsi="Calibri" w:cs="Times New Roman"/>
          <w:b/>
          <w:bCs/>
          <w:color w:val="4472C4" w:themeColor="accent1"/>
          <w:sz w:val="20"/>
          <w:szCs w:val="20"/>
          <w:u w:val="single"/>
        </w:rPr>
      </w:pPr>
    </w:p>
    <w:p w14:paraId="01C2E9A6" w14:textId="15409C65" w:rsidR="006A2D41" w:rsidRPr="003265D9" w:rsidRDefault="006A2D41" w:rsidP="006A2D41">
      <w:pPr>
        <w:spacing w:line="256" w:lineRule="auto"/>
        <w:ind w:left="720"/>
        <w:contextualSpacing/>
        <w:jc w:val="center"/>
        <w:rPr>
          <w:rFonts w:ascii="Calibri" w:eastAsia="Calibri" w:hAnsi="Calibri" w:cs="Times New Roman"/>
          <w:b/>
          <w:bCs/>
          <w:u w:val="single"/>
        </w:rPr>
      </w:pPr>
      <w:r w:rsidRPr="003265D9">
        <w:rPr>
          <w:rFonts w:ascii="Calibri" w:eastAsia="Calibri" w:hAnsi="Calibri" w:cs="Times New Roman"/>
          <w:b/>
          <w:bCs/>
          <w:u w:val="single"/>
        </w:rPr>
        <w:t xml:space="preserve">Application des critères de la </w:t>
      </w:r>
      <w:proofErr w:type="spellStart"/>
      <w:r w:rsidRPr="003265D9">
        <w:rPr>
          <w:rFonts w:ascii="Calibri" w:eastAsia="Calibri" w:hAnsi="Calibri" w:cs="Times New Roman"/>
          <w:b/>
          <w:bCs/>
          <w:u w:val="single"/>
        </w:rPr>
        <w:t>CWaPE</w:t>
      </w:r>
      <w:proofErr w:type="spellEnd"/>
    </w:p>
    <w:p w14:paraId="6ABC7D4B" w14:textId="77777777" w:rsidR="006A2D41" w:rsidRPr="006A2D41" w:rsidRDefault="006A2D41" w:rsidP="006A2D41">
      <w:pPr>
        <w:spacing w:line="256" w:lineRule="auto"/>
        <w:ind w:left="720"/>
        <w:contextualSpacing/>
        <w:jc w:val="center"/>
        <w:rPr>
          <w:rFonts w:ascii="Calibri" w:eastAsia="Calibri" w:hAnsi="Calibri" w:cs="Times New Roman"/>
          <w:b/>
          <w:bCs/>
        </w:rPr>
      </w:pPr>
    </w:p>
    <w:tbl>
      <w:tblPr>
        <w:tblStyle w:val="Grilledutableau"/>
        <w:tblW w:w="0" w:type="auto"/>
        <w:tblInd w:w="0" w:type="dxa"/>
        <w:tblLook w:val="04A0" w:firstRow="1" w:lastRow="0" w:firstColumn="1" w:lastColumn="0" w:noHBand="0" w:noVBand="1"/>
      </w:tblPr>
      <w:tblGrid>
        <w:gridCol w:w="9062"/>
      </w:tblGrid>
      <w:tr w:rsidR="006A2D41" w:rsidRPr="006A2D41" w14:paraId="5F9AE677" w14:textId="77777777" w:rsidTr="006A2D41">
        <w:tc>
          <w:tcPr>
            <w:tcW w:w="9062" w:type="dxa"/>
            <w:tcBorders>
              <w:top w:val="single" w:sz="4" w:space="0" w:color="auto"/>
              <w:left w:val="single" w:sz="4" w:space="0" w:color="auto"/>
              <w:bottom w:val="single" w:sz="4" w:space="0" w:color="auto"/>
              <w:right w:val="single" w:sz="4" w:space="0" w:color="auto"/>
            </w:tcBorders>
          </w:tcPr>
          <w:p w14:paraId="2D8A4944" w14:textId="42025A7B" w:rsidR="006A2D41" w:rsidRPr="006A2D41" w:rsidRDefault="006A2D41" w:rsidP="006A2D41">
            <w:pPr>
              <w:jc w:val="both"/>
            </w:pPr>
            <w:r w:rsidRPr="006A2D41">
              <w:t xml:space="preserve">Dans le cadre de cette procédure et en vertu de l’article 43bis, § 2, du décret du 12 avril 2001 relatif à l’organisation du marché régional de l’électricité, la </w:t>
            </w:r>
            <w:proofErr w:type="spellStart"/>
            <w:r w:rsidRPr="006A2D41">
              <w:t>CWaPE</w:t>
            </w:r>
            <w:proofErr w:type="spellEnd"/>
            <w:r w:rsidRPr="006A2D41">
              <w:t xml:space="preserve"> se voit confier une mission de contrôle et de surveillance de la candidature. Elle a donc édité des lignes directrices concernant les critères qu’il convient de voir figurer, à minima, dans le présent appel à candidature. Ces lignes directrices visent à mettre en œuvre les dispositions suivantes :</w:t>
            </w:r>
          </w:p>
          <w:p w14:paraId="2D2985E1" w14:textId="77777777" w:rsidR="006A2D41" w:rsidRPr="006A2D41" w:rsidRDefault="006A2D41" w:rsidP="006A2D41">
            <w:pPr>
              <w:jc w:val="both"/>
            </w:pPr>
          </w:p>
          <w:p w14:paraId="2D01E0DB" w14:textId="77777777" w:rsidR="006A2D41" w:rsidRPr="006A2D41" w:rsidRDefault="006A2D41" w:rsidP="006A2D41">
            <w:pPr>
              <w:jc w:val="both"/>
            </w:pPr>
            <w:r w:rsidRPr="006A2D41">
              <w:t xml:space="preserve">- L’article 10, § 1er, du décret électricité qui confie à la </w:t>
            </w:r>
            <w:proofErr w:type="spellStart"/>
            <w:r w:rsidRPr="006A2D41">
              <w:t>CWaPE</w:t>
            </w:r>
            <w:proofErr w:type="spellEnd"/>
            <w:r w:rsidRPr="006A2D41">
              <w:t xml:space="preserve"> la mission de remettre un avis au Gouvernement sur le respect des conditions de désignation par les candidats GRD proposés par les communes ;</w:t>
            </w:r>
          </w:p>
          <w:p w14:paraId="3C1BFC6A" w14:textId="77777777" w:rsidR="006A2D41" w:rsidRPr="006A2D41" w:rsidRDefault="006A2D41" w:rsidP="006A2D41">
            <w:pPr>
              <w:jc w:val="both"/>
            </w:pPr>
            <w:r w:rsidRPr="006A2D41">
              <w:t xml:space="preserve">- L’article 20, § 3, de l’AGW GRD électricité qui prévoit que la </w:t>
            </w:r>
            <w:proofErr w:type="spellStart"/>
            <w:r w:rsidRPr="006A2D41">
              <w:t>CWaPE</w:t>
            </w:r>
            <w:proofErr w:type="spellEnd"/>
            <w:r w:rsidRPr="006A2D41">
              <w:t xml:space="preserve"> peut requérir du candidat GRD « tout document lui permettant de vérifier qu'il répond aux conditions prescrites par ou en vertu du décret et de ses arrêtés d'exécution et dispose notamment d'une capacité technique et financière suffisante » ;</w:t>
            </w:r>
          </w:p>
          <w:p w14:paraId="05147C0B" w14:textId="340E246D" w:rsidR="006A2D41" w:rsidRPr="006A2D41" w:rsidRDefault="006A2D41" w:rsidP="006A2D41">
            <w:pPr>
              <w:jc w:val="both"/>
            </w:pPr>
            <w:r w:rsidRPr="006A2D41">
              <w:t xml:space="preserve">- L’article 21 de l’AGW GRD électricité, qui charge la </w:t>
            </w:r>
            <w:proofErr w:type="spellStart"/>
            <w:r w:rsidRPr="006A2D41">
              <w:t>CWaPE</w:t>
            </w:r>
            <w:proofErr w:type="spellEnd"/>
            <w:r w:rsidRPr="006A2D41">
              <w:t xml:space="preserve"> de vérifier si tous les documents requis, pour l'examen de la candidature sont en sa possession et, si elle constate que celle-ci est incomplète, d’en aviser le candidat dans un délai de quinze jours à dater de la réception</w:t>
            </w:r>
            <w:r w:rsidR="0068281F">
              <w:t>.</w:t>
            </w:r>
          </w:p>
          <w:p w14:paraId="31212526" w14:textId="77777777" w:rsidR="006A2D41" w:rsidRPr="006A2D41" w:rsidRDefault="006A2D41" w:rsidP="003D0AC5">
            <w:pPr>
              <w:jc w:val="both"/>
            </w:pPr>
          </w:p>
        </w:tc>
      </w:tr>
    </w:tbl>
    <w:p w14:paraId="715756CD" w14:textId="51BCE87F" w:rsidR="006A2D41" w:rsidRDefault="006A2D41" w:rsidP="006A2D41">
      <w:pPr>
        <w:spacing w:line="256" w:lineRule="auto"/>
        <w:jc w:val="both"/>
        <w:rPr>
          <w:rFonts w:ascii="Calibri" w:eastAsia="Calibri" w:hAnsi="Calibri" w:cs="Times New Roman"/>
        </w:rPr>
      </w:pPr>
    </w:p>
    <w:p w14:paraId="57302FD2" w14:textId="355386B9" w:rsidR="003D0AC5" w:rsidRPr="00D51785" w:rsidRDefault="003D0AC5" w:rsidP="00D51785">
      <w:pPr>
        <w:jc w:val="both"/>
      </w:pPr>
      <w:r w:rsidRPr="006A2D41">
        <w:t>D</w:t>
      </w:r>
      <w:r>
        <w:t>è</w:t>
      </w:r>
      <w:r w:rsidRPr="006A2D41">
        <w:t xml:space="preserve">s lors, la </w:t>
      </w:r>
      <w:r w:rsidR="003265D9">
        <w:t>Ville de Spa</w:t>
      </w:r>
      <w:r w:rsidRPr="006A2D41">
        <w:t xml:space="preserve"> sollicite auprès des GRD candidats les informations suivantes :</w:t>
      </w:r>
    </w:p>
    <w:p w14:paraId="69444A97" w14:textId="09B15963"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Démonstration de l’existence d’un droit de propriété ou d’un droit garantissant la jouissance des infrastructures et équipements du réseau.</w:t>
      </w:r>
    </w:p>
    <w:p w14:paraId="7BEE7C3C" w14:textId="4B7D11F7"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Statuts coordonnés du candidat GRD et des éventuelles filiales désignées notamment par leur numéro d’entreprise (et éventuelles conventions d’actionnaires).</w:t>
      </w:r>
    </w:p>
    <w:p w14:paraId="072113E5" w14:textId="006EA17A"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Attestation sur l’honneur de l’absence de mise en gage, nantissement, mise en garantie ou de tout autre engagement des actifs liés à l’activité de GRD, pour d’autres causes et activités que celle</w:t>
      </w:r>
      <w:r w:rsidR="00021093" w:rsidRPr="00581F28">
        <w:rPr>
          <w:rFonts w:ascii="Calibri" w:eastAsia="Calibri" w:hAnsi="Calibri" w:cs="Times New Roman"/>
        </w:rPr>
        <w:t>s</w:t>
      </w:r>
      <w:r w:rsidRPr="00581F28">
        <w:rPr>
          <w:rFonts w:ascii="Calibri" w:eastAsia="Calibri" w:hAnsi="Calibri" w:cs="Times New Roman"/>
        </w:rPr>
        <w:t xml:space="preserve"> de GRD.</w:t>
      </w:r>
    </w:p>
    <w:p w14:paraId="1B04E2AE" w14:textId="0A368C2D"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Liste des actionnaires (avec le nombre et type de parts détenues, droit de vote) du candidat GRD et des éventuelles filiales désignées notamment par leur numéro d’entreprise.</w:t>
      </w:r>
    </w:p>
    <w:p w14:paraId="2578E050" w14:textId="31850FE9"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Déclaration d’indépendance des administrateurs du candidat GRD et des éventuelles filiales désignées notamment par leur numéro d’entreprise.</w:t>
      </w:r>
    </w:p>
    <w:p w14:paraId="29423242" w14:textId="5F823CD7"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Démonstration du respect des dispositions du Code de la démocratie locale et de la décentralisation relatives à la rémunération des administrateurs et titulaires d’une fonction dirigeante locale pour les administrateurs et gestionnaires du GRD et de ses éventuelles filiales désignées notamment par leur numéro d’entreprise.</w:t>
      </w:r>
    </w:p>
    <w:p w14:paraId="6B8ED59B" w14:textId="4A006216"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Liste des éventuelles installations de production détenues par le candidat GRD et ses éventuelles filiales désignées notamment par leur numéro d’entreprise (et démonstration de la conformité à l’article 8 du décret électricité ou d’éventuelles démarches de cessation de ces activités de production).</w:t>
      </w:r>
    </w:p>
    <w:p w14:paraId="61A58E06" w14:textId="7732388D"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Derniers comptes annuels, annexes à ceux-ci, et rapport annuel d'activité du candidat GRD et des éventuelles filiales désignées notamment par leur numéro d’entreprise.</w:t>
      </w:r>
    </w:p>
    <w:p w14:paraId="2746599E" w14:textId="5E2C1610"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lastRenderedPageBreak/>
        <w:t>Liste des participations directes et indirectes détenues dans d’autres personnes morales par le candidat GRD et les éventuelles filiales désignées notamment par leur numéro d’entreprise, rapport spécifique sur les prises de participation arrêté par le Conseil d'administration conformément à l'art. 1512-5 du CDLD.</w:t>
      </w:r>
    </w:p>
    <w:p w14:paraId="50E8C948" w14:textId="72860E9C"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Description des mesures mises en place pour tenir, dans sa comptabilité interne, des comptes séparés pour les activités de distribution et, le cas échéant, toutes les autres activités.</w:t>
      </w:r>
    </w:p>
    <w:p w14:paraId="0D7EA28E" w14:textId="5C8EAB5C"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Documents relatifs à la capacité financière requise des candidats gestionnaires de réseau (consulter ce point pour le détail des documents requis).</w:t>
      </w:r>
    </w:p>
    <w:p w14:paraId="4E2EDB6E" w14:textId="17A627E2"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Documents relatifs à la capacité technique requise des candidats gestionnaires de réseau (consulter ce point pour le détail des documents requis).</w:t>
      </w:r>
    </w:p>
    <w:p w14:paraId="76A4ED7D" w14:textId="337DD627"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Démonstration de l’absence d’enclavement.</w:t>
      </w:r>
    </w:p>
    <w:p w14:paraId="3037CF25" w14:textId="44C5ADBD" w:rsidR="006A2D41" w:rsidRPr="00581F28" w:rsidRDefault="006A2D41" w:rsidP="00581F28">
      <w:pPr>
        <w:pStyle w:val="Paragraphedeliste"/>
        <w:numPr>
          <w:ilvl w:val="0"/>
          <w:numId w:val="4"/>
        </w:numPr>
        <w:spacing w:line="256" w:lineRule="auto"/>
        <w:jc w:val="both"/>
        <w:rPr>
          <w:rFonts w:ascii="Calibri" w:eastAsia="Calibri" w:hAnsi="Calibri" w:cs="Times New Roman"/>
        </w:rPr>
      </w:pPr>
      <w:r w:rsidRPr="00581F28">
        <w:rPr>
          <w:rFonts w:ascii="Calibri" w:eastAsia="Calibri" w:hAnsi="Calibri" w:cs="Times New Roman"/>
        </w:rPr>
        <w:t>Attestation de l’indépendance du personnel du candidat GRD et des éventuelles filiales désignées notamment par leur numéro d’entreprise, description des mesures mises en place garantissant l’indépendance du personnel (statut, contrats, règlement de travail, etc.).</w:t>
      </w:r>
    </w:p>
    <w:p w14:paraId="6812864C" w14:textId="77777777" w:rsidR="006A2D41" w:rsidRPr="006A2D41" w:rsidRDefault="006A2D41" w:rsidP="006A2D41">
      <w:pPr>
        <w:spacing w:line="256" w:lineRule="auto"/>
        <w:jc w:val="both"/>
        <w:rPr>
          <w:rFonts w:ascii="Calibri" w:eastAsia="Calibri" w:hAnsi="Calibri" w:cs="Times New Roman"/>
        </w:rPr>
      </w:pPr>
    </w:p>
    <w:p w14:paraId="29B6F2DE" w14:textId="7C6AC749" w:rsidR="006A2D41" w:rsidRPr="006A2D41" w:rsidRDefault="006A2D41" w:rsidP="006A2D41">
      <w:pPr>
        <w:spacing w:line="256" w:lineRule="auto"/>
        <w:ind w:left="360"/>
        <w:jc w:val="center"/>
        <w:rPr>
          <w:rFonts w:ascii="Calibri" w:eastAsia="Calibri" w:hAnsi="Calibri" w:cs="Calibri"/>
          <w:b/>
          <w:bCs/>
          <w:sz w:val="20"/>
          <w:szCs w:val="20"/>
          <w:u w:val="single"/>
        </w:rPr>
      </w:pPr>
      <w:r w:rsidRPr="006A2D41">
        <w:rPr>
          <w:rFonts w:ascii="Calibri" w:eastAsia="Calibri" w:hAnsi="Calibri" w:cs="Calibri"/>
          <w:b/>
          <w:bCs/>
          <w:sz w:val="20"/>
          <w:szCs w:val="20"/>
          <w:u w:val="single"/>
        </w:rPr>
        <w:t xml:space="preserve">Application des critères définis par le Conseil </w:t>
      </w:r>
      <w:r w:rsidRPr="002336D1">
        <w:rPr>
          <w:rFonts w:ascii="Calibri" w:eastAsia="Calibri" w:hAnsi="Calibri" w:cs="Calibri"/>
          <w:b/>
          <w:bCs/>
          <w:sz w:val="20"/>
          <w:szCs w:val="20"/>
          <w:u w:val="single"/>
        </w:rPr>
        <w:t xml:space="preserve">communal de </w:t>
      </w:r>
      <w:r w:rsidR="003265D9">
        <w:rPr>
          <w:rFonts w:ascii="Calibri" w:eastAsia="Calibri" w:hAnsi="Calibri" w:cs="Calibri"/>
          <w:b/>
          <w:bCs/>
          <w:sz w:val="20"/>
          <w:szCs w:val="20"/>
          <w:u w:val="single"/>
        </w:rPr>
        <w:t>la Ville de Spa</w:t>
      </w:r>
      <w:r w:rsidRPr="002336D1">
        <w:rPr>
          <w:rFonts w:ascii="Calibri" w:eastAsia="Calibri" w:hAnsi="Calibri" w:cs="Calibri"/>
          <w:b/>
          <w:bCs/>
          <w:sz w:val="20"/>
          <w:szCs w:val="20"/>
          <w:u w:val="single"/>
        </w:rPr>
        <w:t>.</w:t>
      </w:r>
    </w:p>
    <w:p w14:paraId="6A8FFFA5" w14:textId="77777777" w:rsidR="006A2D41" w:rsidRPr="006A2D41" w:rsidRDefault="006A2D41" w:rsidP="006A2D41">
      <w:pPr>
        <w:spacing w:line="256" w:lineRule="auto"/>
        <w:ind w:left="360"/>
        <w:jc w:val="both"/>
        <w:rPr>
          <w:rFonts w:ascii="Calibri" w:eastAsia="Calibri" w:hAnsi="Calibri" w:cs="Times New Roman"/>
          <w:color w:val="4472C4" w:themeColor="accent1"/>
          <w:sz w:val="28"/>
          <w:szCs w:val="28"/>
          <w:u w:val="single"/>
        </w:rPr>
      </w:pPr>
    </w:p>
    <w:p w14:paraId="314F4458" w14:textId="77777777" w:rsidR="006A2D41" w:rsidRPr="006A2D41" w:rsidRDefault="006A2D41" w:rsidP="006A2D41">
      <w:pPr>
        <w:numPr>
          <w:ilvl w:val="0"/>
          <w:numId w:val="1"/>
        </w:numPr>
        <w:spacing w:line="256" w:lineRule="auto"/>
        <w:contextualSpacing/>
        <w:jc w:val="both"/>
        <w:rPr>
          <w:rFonts w:ascii="Calibri" w:eastAsia="Calibri" w:hAnsi="Calibri" w:cs="Times New Roman"/>
          <w:color w:val="4472C4" w:themeColor="accent1"/>
          <w:sz w:val="28"/>
          <w:szCs w:val="28"/>
          <w:u w:val="single"/>
        </w:rPr>
      </w:pPr>
      <w:bookmarkStart w:id="0" w:name="_Hlk73438905"/>
      <w:r w:rsidRPr="006A2D41">
        <w:rPr>
          <w:rFonts w:ascii="Calibri" w:eastAsia="Calibri" w:hAnsi="Calibri" w:cs="Times New Roman"/>
          <w:color w:val="4472C4" w:themeColor="accent1"/>
          <w:sz w:val="28"/>
          <w:szCs w:val="28"/>
          <w:u w:val="single"/>
        </w:rPr>
        <w:t>Critères économiques</w:t>
      </w:r>
    </w:p>
    <w:p w14:paraId="48FDB0EB" w14:textId="77777777" w:rsidR="006A2D41" w:rsidRPr="006A2D41" w:rsidRDefault="006A2D41" w:rsidP="006A2D41">
      <w:pPr>
        <w:spacing w:line="256" w:lineRule="auto"/>
        <w:ind w:left="720"/>
        <w:contextualSpacing/>
        <w:jc w:val="both"/>
        <w:rPr>
          <w:rFonts w:ascii="Calibri" w:eastAsia="Calibri" w:hAnsi="Calibri" w:cs="Times New Roman"/>
          <w:color w:val="4472C4" w:themeColor="accent1"/>
          <w:sz w:val="28"/>
          <w:szCs w:val="28"/>
          <w:u w:val="single"/>
        </w:rPr>
      </w:pPr>
    </w:p>
    <w:p w14:paraId="4779161D" w14:textId="5C1FA5B3" w:rsidR="006A2D41" w:rsidRDefault="006A2D41" w:rsidP="006A2D41">
      <w:pPr>
        <w:numPr>
          <w:ilvl w:val="1"/>
          <w:numId w:val="2"/>
        </w:numPr>
        <w:spacing w:line="256" w:lineRule="auto"/>
        <w:contextualSpacing/>
        <w:jc w:val="both"/>
        <w:rPr>
          <w:rFonts w:ascii="Calibri" w:eastAsia="Calibri" w:hAnsi="Calibri" w:cs="Times New Roman"/>
          <w:b/>
          <w:bCs/>
          <w:color w:val="4472C4" w:themeColor="accent1"/>
          <w:u w:val="single"/>
        </w:rPr>
      </w:pPr>
      <w:r w:rsidRPr="006A2D41">
        <w:rPr>
          <w:rFonts w:ascii="Calibri" w:eastAsia="Calibri" w:hAnsi="Calibri" w:cs="Times New Roman"/>
          <w:b/>
          <w:bCs/>
          <w:color w:val="4472C4" w:themeColor="accent1"/>
          <w:u w:val="single"/>
        </w:rPr>
        <w:t>Maîtrise des coûts contrôlables</w:t>
      </w:r>
    </w:p>
    <w:p w14:paraId="45249CBE" w14:textId="77777777" w:rsidR="006A2D41" w:rsidRPr="006A2D41" w:rsidRDefault="006A2D41" w:rsidP="006A2D41">
      <w:pPr>
        <w:spacing w:line="256" w:lineRule="auto"/>
        <w:ind w:left="360"/>
        <w:contextualSpacing/>
        <w:jc w:val="both"/>
        <w:rPr>
          <w:rFonts w:ascii="Calibri" w:eastAsia="Calibri" w:hAnsi="Calibri" w:cs="Times New Roman"/>
          <w:b/>
          <w:bCs/>
          <w:color w:val="4472C4" w:themeColor="accent1"/>
          <w:u w:val="single"/>
        </w:rPr>
      </w:pPr>
    </w:p>
    <w:p w14:paraId="0B524236" w14:textId="77777777"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 xml:space="preserve">La méthodologie tarifaire de la </w:t>
      </w:r>
      <w:proofErr w:type="spellStart"/>
      <w:r w:rsidRPr="006A2D41">
        <w:rPr>
          <w:rFonts w:ascii="Calibri" w:eastAsia="Calibri" w:hAnsi="Calibri" w:cs="Times New Roman"/>
        </w:rPr>
        <w:t>CWaPE</w:t>
      </w:r>
      <w:proofErr w:type="spellEnd"/>
      <w:r w:rsidRPr="006A2D41">
        <w:rPr>
          <w:rFonts w:ascii="Calibri" w:eastAsia="Calibri" w:hAnsi="Calibri" w:cs="Times New Roman"/>
        </w:rPr>
        <w:t xml:space="preserve"> incite à la maîtrise des coûts contrôlables, c’est-à-dire les coûts sur lesquels le GRD exerce un contrôle direct. La capacité du candidat GRD à maîtriser ses coûts contrôlables est pour la commune un signe de bonne gestion et offre des perspectives positives pour la maîtrise des tarifs pour les citoyens et le maintien des dividendes.</w:t>
      </w:r>
    </w:p>
    <w:p w14:paraId="6DC2C5C4" w14:textId="77777777"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 xml:space="preserve">Veuillez nous communiquer pour l’actuelle période régulatoire 2019-2023 </w:t>
      </w:r>
      <w:proofErr w:type="gramStart"/>
      <w:r w:rsidRPr="006A2D41">
        <w:rPr>
          <w:rFonts w:ascii="Calibri" w:eastAsia="Calibri" w:hAnsi="Calibri" w:cs="Times New Roman"/>
        </w:rPr>
        <w:t>les  coûts</w:t>
      </w:r>
      <w:proofErr w:type="gramEnd"/>
      <w:r w:rsidRPr="006A2D41">
        <w:rPr>
          <w:rFonts w:ascii="Calibri" w:eastAsia="Calibri" w:hAnsi="Calibri" w:cs="Times New Roman"/>
        </w:rPr>
        <w:t xml:space="preserve"> contrôlables exposés et le  revenu autorisé, exprimé en euros, ainsi que la part des coûts contrôlables (en pourcentage), par rapport à l’enveloppe de revenu autorisé.</w:t>
      </w:r>
    </w:p>
    <w:p w14:paraId="6429DA3A" w14:textId="77777777"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Merci de mentionner brièvement les éléments exceptionnels impactant l’évolution des coûts contrôlables, en particulier à partir de 2020, et décrivez les actions que vous comptez prendre pour maîtriser au mieux vos coûts contrôlables.</w:t>
      </w:r>
    </w:p>
    <w:p w14:paraId="34A5BDCF" w14:textId="77777777" w:rsidR="006A2D41" w:rsidRPr="006A2D41" w:rsidRDefault="006A2D41" w:rsidP="006A2D41">
      <w:pPr>
        <w:spacing w:after="0" w:line="256" w:lineRule="auto"/>
        <w:jc w:val="both"/>
        <w:rPr>
          <w:rFonts w:ascii="Calibri" w:eastAsia="Calibri" w:hAnsi="Calibri" w:cs="Times New Roman"/>
        </w:rPr>
      </w:pPr>
    </w:p>
    <w:tbl>
      <w:tblPr>
        <w:tblStyle w:val="Grilledutableau"/>
        <w:tblW w:w="0" w:type="auto"/>
        <w:tblInd w:w="0" w:type="dxa"/>
        <w:tblLook w:val="04A0" w:firstRow="1" w:lastRow="0" w:firstColumn="1" w:lastColumn="0" w:noHBand="0" w:noVBand="1"/>
      </w:tblPr>
      <w:tblGrid>
        <w:gridCol w:w="1696"/>
        <w:gridCol w:w="2552"/>
        <w:gridCol w:w="2548"/>
        <w:gridCol w:w="2266"/>
      </w:tblGrid>
      <w:tr w:rsidR="006A2D41" w:rsidRPr="006A2D41" w14:paraId="45B01797" w14:textId="77777777" w:rsidTr="006A2D41">
        <w:tc>
          <w:tcPr>
            <w:tcW w:w="1696" w:type="dxa"/>
            <w:tcBorders>
              <w:top w:val="single" w:sz="4" w:space="0" w:color="auto"/>
              <w:left w:val="single" w:sz="4" w:space="0" w:color="auto"/>
              <w:bottom w:val="single" w:sz="4" w:space="0" w:color="auto"/>
              <w:right w:val="single" w:sz="4" w:space="0" w:color="auto"/>
            </w:tcBorders>
            <w:hideMark/>
          </w:tcPr>
          <w:p w14:paraId="556F86C3" w14:textId="77777777" w:rsidR="006A2D41" w:rsidRPr="006A2D41" w:rsidRDefault="006A2D41" w:rsidP="006A2D41">
            <w:pPr>
              <w:jc w:val="both"/>
            </w:pPr>
            <w:r w:rsidRPr="006A2D41">
              <w:t>Années</w:t>
            </w:r>
          </w:p>
        </w:tc>
        <w:tc>
          <w:tcPr>
            <w:tcW w:w="2552" w:type="dxa"/>
            <w:tcBorders>
              <w:top w:val="single" w:sz="4" w:space="0" w:color="auto"/>
              <w:left w:val="single" w:sz="4" w:space="0" w:color="auto"/>
              <w:bottom w:val="single" w:sz="4" w:space="0" w:color="auto"/>
              <w:right w:val="single" w:sz="4" w:space="0" w:color="auto"/>
            </w:tcBorders>
            <w:hideMark/>
          </w:tcPr>
          <w:p w14:paraId="7F344684" w14:textId="77777777" w:rsidR="00764589" w:rsidRDefault="006A2D41" w:rsidP="00581F28">
            <w:pPr>
              <w:jc w:val="center"/>
            </w:pPr>
            <w:r w:rsidRPr="006A2D41">
              <w:t>Co</w:t>
            </w:r>
            <w:r w:rsidR="00021093">
              <w:t>û</w:t>
            </w:r>
            <w:r w:rsidRPr="006A2D41">
              <w:t xml:space="preserve">ts contrôlables </w:t>
            </w:r>
          </w:p>
          <w:p w14:paraId="3291DB81" w14:textId="13823CD4" w:rsidR="006A2D41" w:rsidRPr="006A2D41" w:rsidRDefault="006A2D41" w:rsidP="00764589">
            <w:pPr>
              <w:jc w:val="center"/>
            </w:pPr>
            <w:proofErr w:type="gramStart"/>
            <w:r w:rsidRPr="006A2D41">
              <w:t>en</w:t>
            </w:r>
            <w:proofErr w:type="gramEnd"/>
            <w:r w:rsidRPr="006A2D41">
              <w:t xml:space="preserve"> k€</w:t>
            </w:r>
            <w:r w:rsidR="00764589">
              <w:t xml:space="preserve"> </w:t>
            </w:r>
            <w:proofErr w:type="spellStart"/>
            <w:r w:rsidR="00764589">
              <w:t>tvac</w:t>
            </w:r>
            <w:proofErr w:type="spellEnd"/>
            <w:r w:rsidRPr="006A2D41">
              <w:t xml:space="preserve"> (1)</w:t>
            </w:r>
          </w:p>
        </w:tc>
        <w:tc>
          <w:tcPr>
            <w:tcW w:w="2548" w:type="dxa"/>
            <w:tcBorders>
              <w:top w:val="single" w:sz="4" w:space="0" w:color="auto"/>
              <w:left w:val="single" w:sz="4" w:space="0" w:color="auto"/>
              <w:bottom w:val="single" w:sz="4" w:space="0" w:color="auto"/>
              <w:right w:val="single" w:sz="4" w:space="0" w:color="auto"/>
            </w:tcBorders>
            <w:hideMark/>
          </w:tcPr>
          <w:p w14:paraId="2F6ABAB6" w14:textId="77777777" w:rsidR="00764589" w:rsidRDefault="006A2D41" w:rsidP="00764589">
            <w:pPr>
              <w:jc w:val="center"/>
            </w:pPr>
            <w:r w:rsidRPr="006A2D41">
              <w:t xml:space="preserve">Revenu autorisé </w:t>
            </w:r>
          </w:p>
          <w:p w14:paraId="209EB696" w14:textId="38C6A45F" w:rsidR="006A2D41" w:rsidRPr="006A2D41" w:rsidRDefault="006A2D41" w:rsidP="00764589">
            <w:pPr>
              <w:jc w:val="center"/>
            </w:pPr>
            <w:proofErr w:type="gramStart"/>
            <w:r w:rsidRPr="006A2D41">
              <w:t>en</w:t>
            </w:r>
            <w:proofErr w:type="gramEnd"/>
            <w:r w:rsidRPr="006A2D41">
              <w:t xml:space="preserve"> k€ </w:t>
            </w:r>
            <w:proofErr w:type="spellStart"/>
            <w:r w:rsidR="00764589">
              <w:t>tvac</w:t>
            </w:r>
            <w:proofErr w:type="spellEnd"/>
            <w:r w:rsidR="00764589">
              <w:t xml:space="preserve"> </w:t>
            </w:r>
            <w:r w:rsidRPr="006A2D41">
              <w:t>(2)</w:t>
            </w:r>
          </w:p>
        </w:tc>
        <w:tc>
          <w:tcPr>
            <w:tcW w:w="2266" w:type="dxa"/>
            <w:tcBorders>
              <w:top w:val="single" w:sz="4" w:space="0" w:color="auto"/>
              <w:left w:val="single" w:sz="4" w:space="0" w:color="auto"/>
              <w:bottom w:val="single" w:sz="4" w:space="0" w:color="auto"/>
              <w:right w:val="single" w:sz="4" w:space="0" w:color="auto"/>
            </w:tcBorders>
            <w:hideMark/>
          </w:tcPr>
          <w:p w14:paraId="03CF605A" w14:textId="77777777" w:rsidR="006A2D41" w:rsidRPr="006A2D41" w:rsidRDefault="006A2D41" w:rsidP="00581F28">
            <w:pPr>
              <w:jc w:val="center"/>
            </w:pPr>
            <w:r w:rsidRPr="006A2D41">
              <w:t>(1) / (2) en %</w:t>
            </w:r>
          </w:p>
        </w:tc>
      </w:tr>
      <w:tr w:rsidR="006A2D41" w:rsidRPr="006A2D41" w14:paraId="56AF1D7A" w14:textId="77777777" w:rsidTr="006A2D41">
        <w:tc>
          <w:tcPr>
            <w:tcW w:w="1696" w:type="dxa"/>
            <w:tcBorders>
              <w:top w:val="single" w:sz="4" w:space="0" w:color="auto"/>
              <w:left w:val="single" w:sz="4" w:space="0" w:color="auto"/>
              <w:bottom w:val="single" w:sz="4" w:space="0" w:color="auto"/>
              <w:right w:val="single" w:sz="4" w:space="0" w:color="auto"/>
            </w:tcBorders>
            <w:hideMark/>
          </w:tcPr>
          <w:p w14:paraId="0F85CCDB" w14:textId="77777777" w:rsidR="006A2D41" w:rsidRPr="006A2D41" w:rsidRDefault="006A2D41" w:rsidP="006A2D41">
            <w:pPr>
              <w:jc w:val="both"/>
            </w:pPr>
            <w:r w:rsidRPr="006A2D41">
              <w:t>2019</w:t>
            </w:r>
          </w:p>
        </w:tc>
        <w:tc>
          <w:tcPr>
            <w:tcW w:w="2552" w:type="dxa"/>
            <w:tcBorders>
              <w:top w:val="single" w:sz="4" w:space="0" w:color="auto"/>
              <w:left w:val="single" w:sz="4" w:space="0" w:color="auto"/>
              <w:bottom w:val="single" w:sz="4" w:space="0" w:color="auto"/>
              <w:right w:val="single" w:sz="4" w:space="0" w:color="auto"/>
            </w:tcBorders>
          </w:tcPr>
          <w:p w14:paraId="1B10AE99" w14:textId="77777777" w:rsidR="006A2D41" w:rsidRPr="006A2D41" w:rsidRDefault="006A2D41" w:rsidP="006A2D41">
            <w:pPr>
              <w:jc w:val="both"/>
            </w:pPr>
          </w:p>
        </w:tc>
        <w:tc>
          <w:tcPr>
            <w:tcW w:w="2548" w:type="dxa"/>
            <w:tcBorders>
              <w:top w:val="single" w:sz="4" w:space="0" w:color="auto"/>
              <w:left w:val="single" w:sz="4" w:space="0" w:color="auto"/>
              <w:bottom w:val="single" w:sz="4" w:space="0" w:color="auto"/>
              <w:right w:val="single" w:sz="4" w:space="0" w:color="auto"/>
            </w:tcBorders>
          </w:tcPr>
          <w:p w14:paraId="6A06F088"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27468027" w14:textId="77777777" w:rsidR="006A2D41" w:rsidRPr="006A2D41" w:rsidRDefault="006A2D41" w:rsidP="006A2D41">
            <w:pPr>
              <w:jc w:val="both"/>
            </w:pPr>
          </w:p>
        </w:tc>
      </w:tr>
      <w:tr w:rsidR="006A2D41" w:rsidRPr="006A2D41" w14:paraId="482F1C7E" w14:textId="77777777" w:rsidTr="006A2D41">
        <w:tc>
          <w:tcPr>
            <w:tcW w:w="1696" w:type="dxa"/>
            <w:tcBorders>
              <w:top w:val="single" w:sz="4" w:space="0" w:color="auto"/>
              <w:left w:val="single" w:sz="4" w:space="0" w:color="auto"/>
              <w:bottom w:val="single" w:sz="4" w:space="0" w:color="auto"/>
              <w:right w:val="single" w:sz="4" w:space="0" w:color="auto"/>
            </w:tcBorders>
            <w:hideMark/>
          </w:tcPr>
          <w:p w14:paraId="170AABD6" w14:textId="77777777" w:rsidR="006A2D41" w:rsidRPr="006A2D41" w:rsidRDefault="006A2D41" w:rsidP="006A2D41">
            <w:pPr>
              <w:jc w:val="both"/>
            </w:pPr>
            <w:r w:rsidRPr="006A2D41">
              <w:t>2020 (estimé)</w:t>
            </w:r>
          </w:p>
        </w:tc>
        <w:tc>
          <w:tcPr>
            <w:tcW w:w="2552" w:type="dxa"/>
            <w:tcBorders>
              <w:top w:val="single" w:sz="4" w:space="0" w:color="auto"/>
              <w:left w:val="single" w:sz="4" w:space="0" w:color="auto"/>
              <w:bottom w:val="single" w:sz="4" w:space="0" w:color="auto"/>
              <w:right w:val="single" w:sz="4" w:space="0" w:color="auto"/>
            </w:tcBorders>
          </w:tcPr>
          <w:p w14:paraId="0F6EF468" w14:textId="77777777" w:rsidR="006A2D41" w:rsidRPr="006A2D41" w:rsidRDefault="006A2D41" w:rsidP="006A2D41">
            <w:pPr>
              <w:jc w:val="both"/>
            </w:pPr>
          </w:p>
        </w:tc>
        <w:tc>
          <w:tcPr>
            <w:tcW w:w="2548" w:type="dxa"/>
            <w:tcBorders>
              <w:top w:val="single" w:sz="4" w:space="0" w:color="auto"/>
              <w:left w:val="single" w:sz="4" w:space="0" w:color="auto"/>
              <w:bottom w:val="single" w:sz="4" w:space="0" w:color="auto"/>
              <w:right w:val="single" w:sz="4" w:space="0" w:color="auto"/>
            </w:tcBorders>
          </w:tcPr>
          <w:p w14:paraId="2EA2EE15"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3B946D3A" w14:textId="77777777" w:rsidR="006A2D41" w:rsidRPr="006A2D41" w:rsidRDefault="006A2D41" w:rsidP="006A2D41">
            <w:pPr>
              <w:jc w:val="both"/>
            </w:pPr>
          </w:p>
        </w:tc>
      </w:tr>
      <w:tr w:rsidR="006A2D41" w:rsidRPr="006A2D41" w14:paraId="613186FA" w14:textId="77777777" w:rsidTr="006A2D41">
        <w:tc>
          <w:tcPr>
            <w:tcW w:w="1696" w:type="dxa"/>
            <w:tcBorders>
              <w:top w:val="single" w:sz="4" w:space="0" w:color="auto"/>
              <w:left w:val="single" w:sz="4" w:space="0" w:color="auto"/>
              <w:bottom w:val="single" w:sz="4" w:space="0" w:color="auto"/>
              <w:right w:val="single" w:sz="4" w:space="0" w:color="auto"/>
            </w:tcBorders>
            <w:hideMark/>
          </w:tcPr>
          <w:p w14:paraId="5264E01E" w14:textId="77777777" w:rsidR="006A2D41" w:rsidRPr="006A2D41" w:rsidRDefault="006A2D41" w:rsidP="006A2D41">
            <w:pPr>
              <w:jc w:val="both"/>
            </w:pPr>
            <w:r w:rsidRPr="006A2D41">
              <w:t>2021 (estimé)</w:t>
            </w:r>
          </w:p>
        </w:tc>
        <w:tc>
          <w:tcPr>
            <w:tcW w:w="2552" w:type="dxa"/>
            <w:tcBorders>
              <w:top w:val="single" w:sz="4" w:space="0" w:color="auto"/>
              <w:left w:val="single" w:sz="4" w:space="0" w:color="auto"/>
              <w:bottom w:val="single" w:sz="4" w:space="0" w:color="auto"/>
              <w:right w:val="single" w:sz="4" w:space="0" w:color="auto"/>
            </w:tcBorders>
          </w:tcPr>
          <w:p w14:paraId="02F6D0A5" w14:textId="77777777" w:rsidR="006A2D41" w:rsidRPr="006A2D41" w:rsidRDefault="006A2D41" w:rsidP="006A2D41">
            <w:pPr>
              <w:jc w:val="both"/>
            </w:pPr>
          </w:p>
        </w:tc>
        <w:tc>
          <w:tcPr>
            <w:tcW w:w="2548" w:type="dxa"/>
            <w:tcBorders>
              <w:top w:val="single" w:sz="4" w:space="0" w:color="auto"/>
              <w:left w:val="single" w:sz="4" w:space="0" w:color="auto"/>
              <w:bottom w:val="single" w:sz="4" w:space="0" w:color="auto"/>
              <w:right w:val="single" w:sz="4" w:space="0" w:color="auto"/>
            </w:tcBorders>
          </w:tcPr>
          <w:p w14:paraId="51AEF314"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3FB01565" w14:textId="77777777" w:rsidR="006A2D41" w:rsidRPr="006A2D41" w:rsidRDefault="006A2D41" w:rsidP="006A2D41">
            <w:pPr>
              <w:jc w:val="both"/>
            </w:pPr>
          </w:p>
        </w:tc>
      </w:tr>
      <w:tr w:rsidR="006A2D41" w:rsidRPr="006A2D41" w14:paraId="422E0113" w14:textId="77777777" w:rsidTr="006A2D41">
        <w:tc>
          <w:tcPr>
            <w:tcW w:w="1696" w:type="dxa"/>
            <w:tcBorders>
              <w:top w:val="single" w:sz="4" w:space="0" w:color="auto"/>
              <w:left w:val="single" w:sz="4" w:space="0" w:color="auto"/>
              <w:bottom w:val="single" w:sz="4" w:space="0" w:color="auto"/>
              <w:right w:val="single" w:sz="4" w:space="0" w:color="auto"/>
            </w:tcBorders>
            <w:hideMark/>
          </w:tcPr>
          <w:p w14:paraId="44140301" w14:textId="77777777" w:rsidR="006A2D41" w:rsidRPr="006A2D41" w:rsidRDefault="006A2D41" w:rsidP="006A2D41">
            <w:pPr>
              <w:jc w:val="both"/>
            </w:pPr>
            <w:r w:rsidRPr="006A2D41">
              <w:t>2022 (estimé)</w:t>
            </w:r>
          </w:p>
        </w:tc>
        <w:tc>
          <w:tcPr>
            <w:tcW w:w="2552" w:type="dxa"/>
            <w:tcBorders>
              <w:top w:val="single" w:sz="4" w:space="0" w:color="auto"/>
              <w:left w:val="single" w:sz="4" w:space="0" w:color="auto"/>
              <w:bottom w:val="single" w:sz="4" w:space="0" w:color="auto"/>
              <w:right w:val="single" w:sz="4" w:space="0" w:color="auto"/>
            </w:tcBorders>
          </w:tcPr>
          <w:p w14:paraId="4EC42391" w14:textId="77777777" w:rsidR="006A2D41" w:rsidRPr="006A2D41" w:rsidRDefault="006A2D41" w:rsidP="006A2D41">
            <w:pPr>
              <w:jc w:val="both"/>
            </w:pPr>
          </w:p>
        </w:tc>
        <w:tc>
          <w:tcPr>
            <w:tcW w:w="2548" w:type="dxa"/>
            <w:tcBorders>
              <w:top w:val="single" w:sz="4" w:space="0" w:color="auto"/>
              <w:left w:val="single" w:sz="4" w:space="0" w:color="auto"/>
              <w:bottom w:val="single" w:sz="4" w:space="0" w:color="auto"/>
              <w:right w:val="single" w:sz="4" w:space="0" w:color="auto"/>
            </w:tcBorders>
          </w:tcPr>
          <w:p w14:paraId="55954239"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5A1A68A9" w14:textId="77777777" w:rsidR="006A2D41" w:rsidRPr="006A2D41" w:rsidRDefault="006A2D41" w:rsidP="006A2D41">
            <w:pPr>
              <w:jc w:val="both"/>
            </w:pPr>
          </w:p>
        </w:tc>
      </w:tr>
      <w:tr w:rsidR="006A2D41" w:rsidRPr="006A2D41" w14:paraId="6A2EA288" w14:textId="77777777" w:rsidTr="006A2D41">
        <w:tc>
          <w:tcPr>
            <w:tcW w:w="1696" w:type="dxa"/>
            <w:tcBorders>
              <w:top w:val="single" w:sz="4" w:space="0" w:color="auto"/>
              <w:left w:val="single" w:sz="4" w:space="0" w:color="auto"/>
              <w:bottom w:val="single" w:sz="4" w:space="0" w:color="auto"/>
              <w:right w:val="single" w:sz="4" w:space="0" w:color="auto"/>
            </w:tcBorders>
            <w:hideMark/>
          </w:tcPr>
          <w:p w14:paraId="79EBFC08" w14:textId="77777777" w:rsidR="006A2D41" w:rsidRPr="006A2D41" w:rsidRDefault="006A2D41" w:rsidP="006A2D41">
            <w:pPr>
              <w:jc w:val="both"/>
            </w:pPr>
            <w:r w:rsidRPr="006A2D41">
              <w:t>2023 (estimé)</w:t>
            </w:r>
          </w:p>
        </w:tc>
        <w:tc>
          <w:tcPr>
            <w:tcW w:w="2552" w:type="dxa"/>
            <w:tcBorders>
              <w:top w:val="single" w:sz="4" w:space="0" w:color="auto"/>
              <w:left w:val="single" w:sz="4" w:space="0" w:color="auto"/>
              <w:bottom w:val="single" w:sz="4" w:space="0" w:color="auto"/>
              <w:right w:val="single" w:sz="4" w:space="0" w:color="auto"/>
            </w:tcBorders>
          </w:tcPr>
          <w:p w14:paraId="6D30BFB5" w14:textId="77777777" w:rsidR="006A2D41" w:rsidRPr="006A2D41" w:rsidRDefault="006A2D41" w:rsidP="006A2D41">
            <w:pPr>
              <w:jc w:val="both"/>
            </w:pPr>
          </w:p>
        </w:tc>
        <w:tc>
          <w:tcPr>
            <w:tcW w:w="2548" w:type="dxa"/>
            <w:tcBorders>
              <w:top w:val="single" w:sz="4" w:space="0" w:color="auto"/>
              <w:left w:val="single" w:sz="4" w:space="0" w:color="auto"/>
              <w:bottom w:val="single" w:sz="4" w:space="0" w:color="auto"/>
              <w:right w:val="single" w:sz="4" w:space="0" w:color="auto"/>
            </w:tcBorders>
          </w:tcPr>
          <w:p w14:paraId="023765E3"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224C74EE" w14:textId="77777777" w:rsidR="006A2D41" w:rsidRPr="006A2D41" w:rsidRDefault="006A2D41" w:rsidP="006A2D41">
            <w:pPr>
              <w:jc w:val="both"/>
            </w:pPr>
          </w:p>
        </w:tc>
      </w:tr>
    </w:tbl>
    <w:p w14:paraId="1A1E249C" w14:textId="77777777" w:rsidR="006A2D41" w:rsidRPr="006A2D41" w:rsidRDefault="006A2D41" w:rsidP="006A2D41">
      <w:pPr>
        <w:spacing w:line="256" w:lineRule="auto"/>
        <w:jc w:val="both"/>
        <w:rPr>
          <w:rFonts w:ascii="Calibri" w:eastAsia="Calibri" w:hAnsi="Calibri" w:cs="Times New Roman"/>
        </w:rPr>
      </w:pPr>
    </w:p>
    <w:p w14:paraId="116F290D" w14:textId="77777777" w:rsidR="006A2D41" w:rsidRPr="006A2D41" w:rsidRDefault="006A2D41" w:rsidP="006A2D41">
      <w:pPr>
        <w:spacing w:line="256" w:lineRule="auto"/>
        <w:jc w:val="both"/>
        <w:rPr>
          <w:rFonts w:ascii="Calibri" w:eastAsia="Calibri" w:hAnsi="Calibri" w:cs="Times New Roman"/>
        </w:rPr>
      </w:pPr>
    </w:p>
    <w:p w14:paraId="708689EC" w14:textId="289E0143" w:rsidR="006A2D41" w:rsidRDefault="006A2D41" w:rsidP="006A2D41">
      <w:pPr>
        <w:numPr>
          <w:ilvl w:val="1"/>
          <w:numId w:val="2"/>
        </w:numPr>
        <w:spacing w:line="256" w:lineRule="auto"/>
        <w:contextualSpacing/>
        <w:jc w:val="both"/>
        <w:rPr>
          <w:rFonts w:ascii="Calibri" w:eastAsia="Calibri" w:hAnsi="Calibri" w:cs="Times New Roman"/>
          <w:b/>
          <w:bCs/>
          <w:color w:val="4472C4" w:themeColor="accent1"/>
          <w:u w:val="single"/>
        </w:rPr>
      </w:pPr>
      <w:r w:rsidRPr="006A2D41">
        <w:rPr>
          <w:rFonts w:ascii="Calibri" w:eastAsia="Calibri" w:hAnsi="Calibri" w:cs="Times New Roman"/>
          <w:b/>
          <w:bCs/>
          <w:color w:val="4472C4" w:themeColor="accent1"/>
          <w:u w:val="single"/>
        </w:rPr>
        <w:t>Dividendes – rétribution des associés</w:t>
      </w:r>
    </w:p>
    <w:p w14:paraId="50A331D1" w14:textId="77777777" w:rsidR="006A2D41" w:rsidRPr="006A2D41" w:rsidRDefault="006A2D41" w:rsidP="006A2D41">
      <w:pPr>
        <w:spacing w:line="256" w:lineRule="auto"/>
        <w:ind w:left="360"/>
        <w:contextualSpacing/>
        <w:jc w:val="both"/>
        <w:rPr>
          <w:rFonts w:ascii="Calibri" w:eastAsia="Calibri" w:hAnsi="Calibri" w:cs="Times New Roman"/>
          <w:b/>
          <w:bCs/>
          <w:color w:val="4472C4" w:themeColor="accent1"/>
          <w:u w:val="single"/>
        </w:rPr>
      </w:pPr>
    </w:p>
    <w:p w14:paraId="74661765" w14:textId="77777777"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lastRenderedPageBreak/>
        <w:t>Les dividendes versés par le candidat GRD à la commune représentent, avec la redevance de voirie, une source importante de financement pour la commune.</w:t>
      </w:r>
    </w:p>
    <w:p w14:paraId="0B9C76DB" w14:textId="77777777"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Veuillez indiquer ci-dessous les dividendes totaux distribués depuis 2019 par votre GRD à ses actionnaires (in fine, les actionnaires communaux et provincial</w:t>
      </w:r>
      <w:proofErr w:type="gramStart"/>
      <w:r w:rsidRPr="006A2D41">
        <w:rPr>
          <w:rFonts w:ascii="Calibri" w:eastAsia="Calibri" w:hAnsi="Calibri" w:cs="Times New Roman"/>
        </w:rPr>
        <w:t>) .</w:t>
      </w:r>
      <w:proofErr w:type="gramEnd"/>
      <w:r w:rsidRPr="006A2D41">
        <w:rPr>
          <w:rFonts w:ascii="Calibri" w:eastAsia="Calibri" w:hAnsi="Calibri" w:cs="Times New Roman"/>
        </w:rPr>
        <w:t xml:space="preserve"> </w:t>
      </w:r>
    </w:p>
    <w:p w14:paraId="0C885819" w14:textId="77777777" w:rsidR="006A2D41" w:rsidRPr="006A2D41" w:rsidRDefault="006A2D41" w:rsidP="006A2D41">
      <w:pPr>
        <w:spacing w:line="256" w:lineRule="auto"/>
        <w:jc w:val="both"/>
        <w:rPr>
          <w:rFonts w:ascii="Calibri" w:eastAsia="Calibri" w:hAnsi="Calibri" w:cs="Times New Roman"/>
        </w:rPr>
      </w:pPr>
    </w:p>
    <w:tbl>
      <w:tblPr>
        <w:tblStyle w:val="Grilledutableau"/>
        <w:tblW w:w="0" w:type="auto"/>
        <w:tblInd w:w="0" w:type="dxa"/>
        <w:tblLook w:val="04A0" w:firstRow="1" w:lastRow="0" w:firstColumn="1" w:lastColumn="0" w:noHBand="0" w:noVBand="1"/>
      </w:tblPr>
      <w:tblGrid>
        <w:gridCol w:w="2264"/>
        <w:gridCol w:w="2266"/>
        <w:gridCol w:w="2266"/>
        <w:gridCol w:w="2266"/>
      </w:tblGrid>
      <w:tr w:rsidR="006A2D41" w:rsidRPr="006A2D41" w14:paraId="23736D93" w14:textId="77777777" w:rsidTr="006A2D41">
        <w:trPr>
          <w:trHeight w:val="537"/>
        </w:trPr>
        <w:tc>
          <w:tcPr>
            <w:tcW w:w="2264" w:type="dxa"/>
            <w:tcBorders>
              <w:top w:val="single" w:sz="4" w:space="0" w:color="auto"/>
              <w:left w:val="single" w:sz="4" w:space="0" w:color="auto"/>
              <w:bottom w:val="single" w:sz="4" w:space="0" w:color="auto"/>
              <w:right w:val="single" w:sz="4" w:space="0" w:color="auto"/>
            </w:tcBorders>
            <w:hideMark/>
          </w:tcPr>
          <w:p w14:paraId="65A874D2" w14:textId="77777777" w:rsidR="006A2D41" w:rsidRPr="006A2D41" w:rsidRDefault="006A2D41" w:rsidP="006A2D41">
            <w:pPr>
              <w:jc w:val="both"/>
            </w:pPr>
            <w:r w:rsidRPr="006A2D41">
              <w:t>Année</w:t>
            </w:r>
          </w:p>
        </w:tc>
        <w:tc>
          <w:tcPr>
            <w:tcW w:w="2266" w:type="dxa"/>
            <w:tcBorders>
              <w:top w:val="single" w:sz="4" w:space="0" w:color="auto"/>
              <w:left w:val="single" w:sz="4" w:space="0" w:color="auto"/>
              <w:bottom w:val="single" w:sz="4" w:space="0" w:color="auto"/>
              <w:right w:val="single" w:sz="4" w:space="0" w:color="auto"/>
            </w:tcBorders>
            <w:hideMark/>
          </w:tcPr>
          <w:p w14:paraId="0A968FE8" w14:textId="77777777" w:rsidR="006A2D41" w:rsidRPr="006A2D41" w:rsidRDefault="006A2D41" w:rsidP="006A2D41">
            <w:pPr>
              <w:jc w:val="center"/>
            </w:pPr>
            <w:r w:rsidRPr="006A2D41">
              <w:t>Bénéfices distribués</w:t>
            </w:r>
          </w:p>
          <w:p w14:paraId="4D1B752C" w14:textId="77777777" w:rsidR="006A2D41" w:rsidRPr="006A2D41" w:rsidRDefault="006A2D41" w:rsidP="006A2D41">
            <w:pPr>
              <w:jc w:val="center"/>
            </w:pPr>
            <w:r w:rsidRPr="006A2D41">
              <w:t>(</w:t>
            </w:r>
            <w:proofErr w:type="gramStart"/>
            <w:r w:rsidRPr="006A2D41">
              <w:t>dividendes</w:t>
            </w:r>
            <w:proofErr w:type="gramEnd"/>
            <w:r w:rsidRPr="006A2D41">
              <w:t>) en euros</w:t>
            </w:r>
          </w:p>
        </w:tc>
        <w:tc>
          <w:tcPr>
            <w:tcW w:w="2266" w:type="dxa"/>
            <w:tcBorders>
              <w:top w:val="single" w:sz="4" w:space="0" w:color="auto"/>
              <w:left w:val="single" w:sz="4" w:space="0" w:color="auto"/>
              <w:bottom w:val="single" w:sz="4" w:space="0" w:color="auto"/>
              <w:right w:val="single" w:sz="4" w:space="0" w:color="auto"/>
            </w:tcBorders>
            <w:hideMark/>
          </w:tcPr>
          <w:p w14:paraId="45E9E126" w14:textId="77777777" w:rsidR="006A2D41" w:rsidRDefault="006A2D41" w:rsidP="006A2D41">
            <w:pPr>
              <w:jc w:val="center"/>
            </w:pPr>
            <w:r w:rsidRPr="006A2D41">
              <w:t>Redevance de voirie</w:t>
            </w:r>
          </w:p>
          <w:p w14:paraId="316AF42C" w14:textId="386F3BC2" w:rsidR="0068281F" w:rsidRPr="006A2D41" w:rsidRDefault="0068281F" w:rsidP="006A2D41">
            <w:pPr>
              <w:jc w:val="center"/>
            </w:pPr>
            <w:r>
              <w:t>(</w:t>
            </w:r>
            <w:proofErr w:type="gramStart"/>
            <w:r>
              <w:t>en</w:t>
            </w:r>
            <w:proofErr w:type="gramEnd"/>
            <w:r>
              <w:t xml:space="preserve"> €)</w:t>
            </w:r>
          </w:p>
        </w:tc>
        <w:tc>
          <w:tcPr>
            <w:tcW w:w="2266" w:type="dxa"/>
            <w:tcBorders>
              <w:top w:val="single" w:sz="4" w:space="0" w:color="auto"/>
              <w:left w:val="single" w:sz="4" w:space="0" w:color="auto"/>
              <w:bottom w:val="single" w:sz="4" w:space="0" w:color="auto"/>
              <w:right w:val="single" w:sz="4" w:space="0" w:color="auto"/>
            </w:tcBorders>
            <w:hideMark/>
          </w:tcPr>
          <w:p w14:paraId="22A2423C" w14:textId="77777777" w:rsidR="006A2D41" w:rsidRDefault="006A2D41" w:rsidP="006A2D41">
            <w:pPr>
              <w:jc w:val="center"/>
            </w:pPr>
            <w:r w:rsidRPr="006A2D41">
              <w:t>Total</w:t>
            </w:r>
          </w:p>
          <w:p w14:paraId="6F2617FE" w14:textId="45D3ABF2" w:rsidR="0068281F" w:rsidRPr="006A2D41" w:rsidRDefault="0068281F" w:rsidP="006A2D41">
            <w:pPr>
              <w:jc w:val="center"/>
            </w:pPr>
            <w:r>
              <w:t>(</w:t>
            </w:r>
            <w:proofErr w:type="gramStart"/>
            <w:r>
              <w:t>en</w:t>
            </w:r>
            <w:proofErr w:type="gramEnd"/>
            <w:r>
              <w:t xml:space="preserve"> €)</w:t>
            </w:r>
          </w:p>
        </w:tc>
      </w:tr>
      <w:tr w:rsidR="006A2D41" w:rsidRPr="006A2D41" w14:paraId="6AE035B2" w14:textId="77777777" w:rsidTr="00D51785">
        <w:trPr>
          <w:trHeight w:val="236"/>
        </w:trPr>
        <w:tc>
          <w:tcPr>
            <w:tcW w:w="2264" w:type="dxa"/>
            <w:tcBorders>
              <w:top w:val="single" w:sz="4" w:space="0" w:color="auto"/>
              <w:left w:val="single" w:sz="4" w:space="0" w:color="auto"/>
              <w:bottom w:val="single" w:sz="4" w:space="0" w:color="auto"/>
              <w:right w:val="single" w:sz="4" w:space="0" w:color="auto"/>
            </w:tcBorders>
            <w:hideMark/>
          </w:tcPr>
          <w:p w14:paraId="1E3F7573" w14:textId="77777777" w:rsidR="006A2D41" w:rsidRPr="006A2D41" w:rsidRDefault="006A2D41" w:rsidP="006A2D41">
            <w:pPr>
              <w:jc w:val="both"/>
            </w:pPr>
            <w:r w:rsidRPr="006A2D41">
              <w:t>2019</w:t>
            </w:r>
          </w:p>
        </w:tc>
        <w:tc>
          <w:tcPr>
            <w:tcW w:w="2266" w:type="dxa"/>
            <w:tcBorders>
              <w:top w:val="single" w:sz="4" w:space="0" w:color="auto"/>
              <w:left w:val="single" w:sz="4" w:space="0" w:color="auto"/>
              <w:bottom w:val="single" w:sz="4" w:space="0" w:color="auto"/>
              <w:right w:val="single" w:sz="4" w:space="0" w:color="auto"/>
            </w:tcBorders>
          </w:tcPr>
          <w:p w14:paraId="0389767A"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4B92D48D"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5AF101D5" w14:textId="77777777" w:rsidR="006A2D41" w:rsidRPr="006A2D41" w:rsidRDefault="006A2D41" w:rsidP="006A2D41">
            <w:pPr>
              <w:jc w:val="both"/>
            </w:pPr>
          </w:p>
        </w:tc>
      </w:tr>
      <w:tr w:rsidR="006A2D41" w:rsidRPr="006A2D41" w14:paraId="708156ED" w14:textId="77777777" w:rsidTr="00D51785">
        <w:trPr>
          <w:trHeight w:val="284"/>
        </w:trPr>
        <w:tc>
          <w:tcPr>
            <w:tcW w:w="2264" w:type="dxa"/>
            <w:tcBorders>
              <w:top w:val="single" w:sz="4" w:space="0" w:color="auto"/>
              <w:left w:val="single" w:sz="4" w:space="0" w:color="auto"/>
              <w:bottom w:val="single" w:sz="4" w:space="0" w:color="auto"/>
              <w:right w:val="single" w:sz="4" w:space="0" w:color="auto"/>
            </w:tcBorders>
            <w:hideMark/>
          </w:tcPr>
          <w:p w14:paraId="3678EE64" w14:textId="77777777" w:rsidR="006A2D41" w:rsidRPr="006A2D41" w:rsidRDefault="006A2D41" w:rsidP="006A2D41">
            <w:pPr>
              <w:jc w:val="both"/>
            </w:pPr>
            <w:r w:rsidRPr="006A2D41">
              <w:t>2020</w:t>
            </w:r>
          </w:p>
        </w:tc>
        <w:tc>
          <w:tcPr>
            <w:tcW w:w="2266" w:type="dxa"/>
            <w:tcBorders>
              <w:top w:val="single" w:sz="4" w:space="0" w:color="auto"/>
              <w:left w:val="single" w:sz="4" w:space="0" w:color="auto"/>
              <w:bottom w:val="single" w:sz="4" w:space="0" w:color="auto"/>
              <w:right w:val="single" w:sz="4" w:space="0" w:color="auto"/>
            </w:tcBorders>
          </w:tcPr>
          <w:p w14:paraId="585E4E90"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34F8DB28"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49FC5623" w14:textId="77777777" w:rsidR="006A2D41" w:rsidRPr="006A2D41" w:rsidRDefault="006A2D41" w:rsidP="006A2D41">
            <w:pPr>
              <w:jc w:val="both"/>
            </w:pPr>
          </w:p>
        </w:tc>
      </w:tr>
      <w:tr w:rsidR="006A2D41" w:rsidRPr="006A2D41" w14:paraId="5078FD33" w14:textId="77777777" w:rsidTr="00D51785">
        <w:trPr>
          <w:trHeight w:val="230"/>
        </w:trPr>
        <w:tc>
          <w:tcPr>
            <w:tcW w:w="2264" w:type="dxa"/>
            <w:tcBorders>
              <w:top w:val="single" w:sz="4" w:space="0" w:color="auto"/>
              <w:left w:val="single" w:sz="4" w:space="0" w:color="auto"/>
              <w:bottom w:val="single" w:sz="4" w:space="0" w:color="auto"/>
              <w:right w:val="single" w:sz="4" w:space="0" w:color="auto"/>
            </w:tcBorders>
            <w:hideMark/>
          </w:tcPr>
          <w:p w14:paraId="2CF0B69D" w14:textId="77777777" w:rsidR="006A2D41" w:rsidRPr="006A2D41" w:rsidRDefault="006A2D41" w:rsidP="006A2D41">
            <w:pPr>
              <w:jc w:val="both"/>
              <w:rPr>
                <w:i/>
                <w:iCs/>
              </w:rPr>
            </w:pPr>
            <w:r w:rsidRPr="006A2D41">
              <w:rPr>
                <w:i/>
                <w:iCs/>
              </w:rPr>
              <w:t>2021 (estimation)</w:t>
            </w:r>
          </w:p>
        </w:tc>
        <w:tc>
          <w:tcPr>
            <w:tcW w:w="2266" w:type="dxa"/>
            <w:tcBorders>
              <w:top w:val="single" w:sz="4" w:space="0" w:color="auto"/>
              <w:left w:val="single" w:sz="4" w:space="0" w:color="auto"/>
              <w:bottom w:val="single" w:sz="4" w:space="0" w:color="auto"/>
              <w:right w:val="single" w:sz="4" w:space="0" w:color="auto"/>
            </w:tcBorders>
          </w:tcPr>
          <w:p w14:paraId="299A69E5" w14:textId="77777777" w:rsidR="006A2D41" w:rsidRPr="006A2D41" w:rsidRDefault="006A2D41" w:rsidP="006A2D41">
            <w:pPr>
              <w:jc w:val="both"/>
              <w:rPr>
                <w:i/>
                <w:iCs/>
              </w:rPr>
            </w:pPr>
          </w:p>
        </w:tc>
        <w:tc>
          <w:tcPr>
            <w:tcW w:w="2266" w:type="dxa"/>
            <w:tcBorders>
              <w:top w:val="single" w:sz="4" w:space="0" w:color="auto"/>
              <w:left w:val="single" w:sz="4" w:space="0" w:color="auto"/>
              <w:bottom w:val="single" w:sz="4" w:space="0" w:color="auto"/>
              <w:right w:val="single" w:sz="4" w:space="0" w:color="auto"/>
            </w:tcBorders>
          </w:tcPr>
          <w:p w14:paraId="23DD4D43" w14:textId="77777777" w:rsidR="006A2D41" w:rsidRPr="006A2D41" w:rsidRDefault="006A2D41" w:rsidP="006A2D41">
            <w:pPr>
              <w:jc w:val="both"/>
              <w:rPr>
                <w:i/>
                <w:iCs/>
              </w:rPr>
            </w:pPr>
          </w:p>
        </w:tc>
        <w:tc>
          <w:tcPr>
            <w:tcW w:w="2266" w:type="dxa"/>
            <w:tcBorders>
              <w:top w:val="single" w:sz="4" w:space="0" w:color="auto"/>
              <w:left w:val="single" w:sz="4" w:space="0" w:color="auto"/>
              <w:bottom w:val="single" w:sz="4" w:space="0" w:color="auto"/>
              <w:right w:val="single" w:sz="4" w:space="0" w:color="auto"/>
            </w:tcBorders>
          </w:tcPr>
          <w:p w14:paraId="7BE9B95C" w14:textId="77777777" w:rsidR="006A2D41" w:rsidRPr="006A2D41" w:rsidRDefault="006A2D41" w:rsidP="006A2D41">
            <w:pPr>
              <w:jc w:val="both"/>
              <w:rPr>
                <w:i/>
                <w:iCs/>
              </w:rPr>
            </w:pPr>
          </w:p>
        </w:tc>
      </w:tr>
      <w:tr w:rsidR="006A2D41" w:rsidRPr="006A2D41" w14:paraId="098637E9" w14:textId="77777777" w:rsidTr="00D51785">
        <w:trPr>
          <w:trHeight w:val="248"/>
        </w:trPr>
        <w:tc>
          <w:tcPr>
            <w:tcW w:w="2264" w:type="dxa"/>
            <w:tcBorders>
              <w:top w:val="single" w:sz="4" w:space="0" w:color="auto"/>
              <w:left w:val="single" w:sz="4" w:space="0" w:color="auto"/>
              <w:bottom w:val="single" w:sz="4" w:space="0" w:color="auto"/>
              <w:right w:val="single" w:sz="4" w:space="0" w:color="auto"/>
            </w:tcBorders>
            <w:hideMark/>
          </w:tcPr>
          <w:p w14:paraId="4C967441" w14:textId="77777777" w:rsidR="006A2D41" w:rsidRPr="006A2D41" w:rsidRDefault="006A2D41" w:rsidP="006A2D41">
            <w:pPr>
              <w:jc w:val="both"/>
              <w:rPr>
                <w:i/>
                <w:iCs/>
              </w:rPr>
            </w:pPr>
            <w:r w:rsidRPr="006A2D41">
              <w:rPr>
                <w:i/>
                <w:iCs/>
              </w:rPr>
              <w:t>2022 (estimation)</w:t>
            </w:r>
          </w:p>
        </w:tc>
        <w:tc>
          <w:tcPr>
            <w:tcW w:w="2266" w:type="dxa"/>
            <w:tcBorders>
              <w:top w:val="single" w:sz="4" w:space="0" w:color="auto"/>
              <w:left w:val="single" w:sz="4" w:space="0" w:color="auto"/>
              <w:bottom w:val="single" w:sz="4" w:space="0" w:color="auto"/>
              <w:right w:val="single" w:sz="4" w:space="0" w:color="auto"/>
            </w:tcBorders>
          </w:tcPr>
          <w:p w14:paraId="42F6BC94" w14:textId="77777777" w:rsidR="006A2D41" w:rsidRPr="006A2D41" w:rsidRDefault="006A2D41" w:rsidP="006A2D41">
            <w:pPr>
              <w:jc w:val="both"/>
              <w:rPr>
                <w:i/>
                <w:iCs/>
              </w:rPr>
            </w:pPr>
          </w:p>
        </w:tc>
        <w:tc>
          <w:tcPr>
            <w:tcW w:w="2266" w:type="dxa"/>
            <w:tcBorders>
              <w:top w:val="single" w:sz="4" w:space="0" w:color="auto"/>
              <w:left w:val="single" w:sz="4" w:space="0" w:color="auto"/>
              <w:bottom w:val="single" w:sz="4" w:space="0" w:color="auto"/>
              <w:right w:val="single" w:sz="4" w:space="0" w:color="auto"/>
            </w:tcBorders>
          </w:tcPr>
          <w:p w14:paraId="0EAD40E0" w14:textId="77777777" w:rsidR="006A2D41" w:rsidRPr="006A2D41" w:rsidRDefault="006A2D41" w:rsidP="006A2D41">
            <w:pPr>
              <w:jc w:val="both"/>
              <w:rPr>
                <w:i/>
                <w:iCs/>
              </w:rPr>
            </w:pPr>
          </w:p>
        </w:tc>
        <w:tc>
          <w:tcPr>
            <w:tcW w:w="2266" w:type="dxa"/>
            <w:tcBorders>
              <w:top w:val="single" w:sz="4" w:space="0" w:color="auto"/>
              <w:left w:val="single" w:sz="4" w:space="0" w:color="auto"/>
              <w:bottom w:val="single" w:sz="4" w:space="0" w:color="auto"/>
              <w:right w:val="single" w:sz="4" w:space="0" w:color="auto"/>
            </w:tcBorders>
          </w:tcPr>
          <w:p w14:paraId="279E9350" w14:textId="77777777" w:rsidR="006A2D41" w:rsidRPr="006A2D41" w:rsidRDefault="006A2D41" w:rsidP="006A2D41">
            <w:pPr>
              <w:jc w:val="both"/>
              <w:rPr>
                <w:i/>
                <w:iCs/>
              </w:rPr>
            </w:pPr>
          </w:p>
        </w:tc>
      </w:tr>
      <w:tr w:rsidR="006A2D41" w:rsidRPr="006A2D41" w14:paraId="4C6C693C" w14:textId="77777777" w:rsidTr="00D51785">
        <w:trPr>
          <w:trHeight w:val="110"/>
        </w:trPr>
        <w:tc>
          <w:tcPr>
            <w:tcW w:w="2264" w:type="dxa"/>
            <w:tcBorders>
              <w:top w:val="single" w:sz="4" w:space="0" w:color="auto"/>
              <w:left w:val="single" w:sz="4" w:space="0" w:color="auto"/>
              <w:bottom w:val="single" w:sz="4" w:space="0" w:color="auto"/>
              <w:right w:val="single" w:sz="4" w:space="0" w:color="auto"/>
            </w:tcBorders>
            <w:hideMark/>
          </w:tcPr>
          <w:p w14:paraId="7D1BA2EF" w14:textId="77777777" w:rsidR="006A2D41" w:rsidRPr="006A2D41" w:rsidRDefault="006A2D41" w:rsidP="006A2D41">
            <w:pPr>
              <w:jc w:val="both"/>
              <w:rPr>
                <w:i/>
                <w:iCs/>
              </w:rPr>
            </w:pPr>
            <w:r w:rsidRPr="006A2D41">
              <w:rPr>
                <w:i/>
                <w:iCs/>
              </w:rPr>
              <w:t>2023 (estimation)</w:t>
            </w:r>
          </w:p>
        </w:tc>
        <w:tc>
          <w:tcPr>
            <w:tcW w:w="2266" w:type="dxa"/>
            <w:tcBorders>
              <w:top w:val="single" w:sz="4" w:space="0" w:color="auto"/>
              <w:left w:val="single" w:sz="4" w:space="0" w:color="auto"/>
              <w:bottom w:val="single" w:sz="4" w:space="0" w:color="auto"/>
              <w:right w:val="single" w:sz="4" w:space="0" w:color="auto"/>
            </w:tcBorders>
          </w:tcPr>
          <w:p w14:paraId="28469AFE" w14:textId="77777777" w:rsidR="006A2D41" w:rsidRPr="006A2D41" w:rsidRDefault="006A2D41" w:rsidP="006A2D41">
            <w:pPr>
              <w:jc w:val="both"/>
              <w:rPr>
                <w:i/>
                <w:iCs/>
              </w:rPr>
            </w:pPr>
          </w:p>
        </w:tc>
        <w:tc>
          <w:tcPr>
            <w:tcW w:w="2266" w:type="dxa"/>
            <w:tcBorders>
              <w:top w:val="single" w:sz="4" w:space="0" w:color="auto"/>
              <w:left w:val="single" w:sz="4" w:space="0" w:color="auto"/>
              <w:bottom w:val="single" w:sz="4" w:space="0" w:color="auto"/>
              <w:right w:val="single" w:sz="4" w:space="0" w:color="auto"/>
            </w:tcBorders>
          </w:tcPr>
          <w:p w14:paraId="37B4D8F7" w14:textId="77777777" w:rsidR="006A2D41" w:rsidRPr="006A2D41" w:rsidRDefault="006A2D41" w:rsidP="006A2D41">
            <w:pPr>
              <w:jc w:val="both"/>
              <w:rPr>
                <w:i/>
                <w:iCs/>
              </w:rPr>
            </w:pPr>
          </w:p>
        </w:tc>
        <w:tc>
          <w:tcPr>
            <w:tcW w:w="2266" w:type="dxa"/>
            <w:tcBorders>
              <w:top w:val="single" w:sz="4" w:space="0" w:color="auto"/>
              <w:left w:val="single" w:sz="4" w:space="0" w:color="auto"/>
              <w:bottom w:val="single" w:sz="4" w:space="0" w:color="auto"/>
              <w:right w:val="single" w:sz="4" w:space="0" w:color="auto"/>
            </w:tcBorders>
          </w:tcPr>
          <w:p w14:paraId="2FF45BA4" w14:textId="77777777" w:rsidR="006A2D41" w:rsidRPr="006A2D41" w:rsidRDefault="006A2D41" w:rsidP="006A2D41">
            <w:pPr>
              <w:jc w:val="both"/>
              <w:rPr>
                <w:i/>
                <w:iCs/>
              </w:rPr>
            </w:pPr>
          </w:p>
        </w:tc>
      </w:tr>
    </w:tbl>
    <w:p w14:paraId="760E07A6" w14:textId="77777777" w:rsidR="006A2D41" w:rsidRPr="006A2D41" w:rsidRDefault="006A2D41" w:rsidP="006A2D41">
      <w:pPr>
        <w:spacing w:line="256" w:lineRule="auto"/>
        <w:jc w:val="both"/>
        <w:rPr>
          <w:rFonts w:ascii="Calibri" w:eastAsia="Calibri" w:hAnsi="Calibri" w:cs="Times New Roman"/>
          <w:b/>
          <w:bCs/>
          <w:u w:val="single"/>
        </w:rPr>
      </w:pPr>
    </w:p>
    <w:p w14:paraId="134857E1" w14:textId="1FBB0DE6" w:rsidR="006A2D41" w:rsidRDefault="006A2D41" w:rsidP="006A2D41">
      <w:pPr>
        <w:numPr>
          <w:ilvl w:val="1"/>
          <w:numId w:val="2"/>
        </w:numPr>
        <w:spacing w:line="256" w:lineRule="auto"/>
        <w:contextualSpacing/>
        <w:jc w:val="both"/>
        <w:rPr>
          <w:rFonts w:ascii="Calibri" w:eastAsia="Calibri" w:hAnsi="Calibri" w:cs="Times New Roman"/>
          <w:b/>
          <w:bCs/>
          <w:color w:val="4472C4" w:themeColor="accent1"/>
          <w:u w:val="single"/>
        </w:rPr>
      </w:pPr>
      <w:r w:rsidRPr="006A2D41">
        <w:rPr>
          <w:rFonts w:ascii="Calibri" w:eastAsia="Calibri" w:hAnsi="Calibri" w:cs="Times New Roman"/>
          <w:b/>
          <w:bCs/>
          <w:color w:val="4472C4" w:themeColor="accent1"/>
          <w:u w:val="single"/>
        </w:rPr>
        <w:t>Tarifs GRD</w:t>
      </w:r>
    </w:p>
    <w:p w14:paraId="6610E467" w14:textId="77777777" w:rsidR="006A2D41" w:rsidRPr="006A2D41" w:rsidRDefault="006A2D41" w:rsidP="006A2D41">
      <w:pPr>
        <w:spacing w:line="256" w:lineRule="auto"/>
        <w:ind w:left="360"/>
        <w:contextualSpacing/>
        <w:jc w:val="both"/>
        <w:rPr>
          <w:rFonts w:ascii="Calibri" w:eastAsia="Calibri" w:hAnsi="Calibri" w:cs="Times New Roman"/>
          <w:b/>
          <w:bCs/>
          <w:color w:val="4472C4" w:themeColor="accent1"/>
          <w:u w:val="single"/>
        </w:rPr>
      </w:pPr>
    </w:p>
    <w:p w14:paraId="59600DDB" w14:textId="20C2F7A3"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 xml:space="preserve">Les tarifs périodiques de distribution, approuvés par la </w:t>
      </w:r>
      <w:proofErr w:type="spellStart"/>
      <w:r w:rsidRPr="006A2D41">
        <w:rPr>
          <w:rFonts w:ascii="Calibri" w:eastAsia="Calibri" w:hAnsi="Calibri" w:cs="Times New Roman"/>
        </w:rPr>
        <w:t>CWaPE</w:t>
      </w:r>
      <w:proofErr w:type="spellEnd"/>
      <w:r w:rsidRPr="006A2D41">
        <w:rPr>
          <w:rFonts w:ascii="Calibri" w:eastAsia="Calibri" w:hAnsi="Calibri" w:cs="Times New Roman"/>
        </w:rPr>
        <w:t>, impactent la facture</w:t>
      </w:r>
      <w:r w:rsidR="00A8442A">
        <w:rPr>
          <w:rFonts w:ascii="Calibri" w:eastAsia="Calibri" w:hAnsi="Calibri" w:cs="Times New Roman"/>
        </w:rPr>
        <w:t xml:space="preserve"> </w:t>
      </w:r>
      <w:r w:rsidRPr="006A2D41">
        <w:rPr>
          <w:rFonts w:ascii="Calibri" w:eastAsia="Calibri" w:hAnsi="Calibri" w:cs="Times New Roman"/>
        </w:rPr>
        <w:t>d’électricité</w:t>
      </w:r>
      <w:r w:rsidR="00A8442A">
        <w:rPr>
          <w:rFonts w:ascii="Calibri" w:eastAsia="Calibri" w:hAnsi="Calibri" w:cs="Times New Roman"/>
        </w:rPr>
        <w:t xml:space="preserve"> </w:t>
      </w:r>
      <w:r w:rsidRPr="006A2D41">
        <w:rPr>
          <w:rFonts w:ascii="Calibri" w:eastAsia="Calibri" w:hAnsi="Calibri" w:cs="Times New Roman"/>
        </w:rPr>
        <w:t>payée par les citoyens et les entreprises.</w:t>
      </w:r>
    </w:p>
    <w:p w14:paraId="55007076" w14:textId="77777777"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 xml:space="preserve">Indiquez ci-dessous les tarifs de distribution (en EUR/an, hors TVA) pour les </w:t>
      </w:r>
      <w:r w:rsidRPr="006A2D41">
        <w:rPr>
          <w:rFonts w:ascii="Calibri" w:eastAsia="Calibri" w:hAnsi="Calibri" w:cs="Times New Roman"/>
          <w:b/>
        </w:rPr>
        <w:t>clients-types</w:t>
      </w:r>
      <w:r w:rsidRPr="006A2D41">
        <w:rPr>
          <w:rFonts w:ascii="Calibri" w:eastAsia="Calibri" w:hAnsi="Calibri" w:cs="Times New Roman"/>
        </w:rPr>
        <w:t xml:space="preserve"> suivants et pour la période régulatoire 2019-2023, tels que publiés sur le site de la </w:t>
      </w:r>
      <w:proofErr w:type="spellStart"/>
      <w:r w:rsidRPr="006A2D41">
        <w:rPr>
          <w:rFonts w:ascii="Calibri" w:eastAsia="Calibri" w:hAnsi="Calibri" w:cs="Times New Roman"/>
        </w:rPr>
        <w:t>CWaPE</w:t>
      </w:r>
      <w:proofErr w:type="spellEnd"/>
      <w:r w:rsidRPr="006A2D41">
        <w:rPr>
          <w:rFonts w:ascii="Calibri" w:eastAsia="Calibri" w:hAnsi="Calibri" w:cs="Times New Roman"/>
        </w:rPr>
        <w:t>.</w:t>
      </w:r>
    </w:p>
    <w:p w14:paraId="0CE739E9" w14:textId="77777777"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Merci de commenter brièvement l’évolution de vos tarifs périodiques de distribution et leurs perspectives d’évolution.</w:t>
      </w:r>
    </w:p>
    <w:p w14:paraId="1DA5475C" w14:textId="77777777" w:rsidR="006A2D41" w:rsidRPr="006A2D41" w:rsidRDefault="006A2D41" w:rsidP="006A2D41">
      <w:pPr>
        <w:spacing w:line="256" w:lineRule="auto"/>
        <w:jc w:val="both"/>
        <w:rPr>
          <w:rFonts w:ascii="Calibri" w:eastAsia="Calibri" w:hAnsi="Calibri" w:cs="Times New Roman"/>
        </w:rPr>
      </w:pPr>
    </w:p>
    <w:tbl>
      <w:tblPr>
        <w:tblStyle w:val="Grilledutableau"/>
        <w:tblW w:w="0" w:type="auto"/>
        <w:tblInd w:w="0" w:type="dxa"/>
        <w:tblLook w:val="04A0" w:firstRow="1" w:lastRow="0" w:firstColumn="1" w:lastColumn="0" w:noHBand="0" w:noVBand="1"/>
      </w:tblPr>
      <w:tblGrid>
        <w:gridCol w:w="880"/>
        <w:gridCol w:w="2517"/>
        <w:gridCol w:w="2127"/>
        <w:gridCol w:w="1692"/>
        <w:gridCol w:w="1846"/>
      </w:tblGrid>
      <w:tr w:rsidR="006A2D41" w:rsidRPr="006A2D41" w14:paraId="75671BC8" w14:textId="77777777" w:rsidTr="006A2D41">
        <w:tc>
          <w:tcPr>
            <w:tcW w:w="880" w:type="dxa"/>
            <w:tcBorders>
              <w:top w:val="single" w:sz="4" w:space="0" w:color="auto"/>
              <w:left w:val="single" w:sz="4" w:space="0" w:color="auto"/>
              <w:bottom w:val="single" w:sz="4" w:space="0" w:color="auto"/>
              <w:right w:val="single" w:sz="4" w:space="0" w:color="auto"/>
            </w:tcBorders>
            <w:hideMark/>
          </w:tcPr>
          <w:p w14:paraId="68AF523C" w14:textId="77777777" w:rsidR="006A2D41" w:rsidRPr="006A2D41" w:rsidRDefault="006A2D41" w:rsidP="006A2D41">
            <w:pPr>
              <w:jc w:val="both"/>
            </w:pPr>
            <w:r w:rsidRPr="006A2D41">
              <w:t>Années</w:t>
            </w:r>
          </w:p>
        </w:tc>
        <w:tc>
          <w:tcPr>
            <w:tcW w:w="2517" w:type="dxa"/>
            <w:tcBorders>
              <w:top w:val="single" w:sz="4" w:space="0" w:color="auto"/>
              <w:left w:val="single" w:sz="4" w:space="0" w:color="auto"/>
              <w:bottom w:val="single" w:sz="4" w:space="0" w:color="auto"/>
              <w:right w:val="single" w:sz="4" w:space="0" w:color="auto"/>
            </w:tcBorders>
            <w:hideMark/>
          </w:tcPr>
          <w:p w14:paraId="28F2C262" w14:textId="77777777" w:rsidR="006A2D41" w:rsidRPr="006A2D41" w:rsidRDefault="006A2D41" w:rsidP="00581F28">
            <w:pPr>
              <w:jc w:val="center"/>
            </w:pPr>
            <w:r w:rsidRPr="006A2D41">
              <w:t>Client basse tension</w:t>
            </w:r>
          </w:p>
          <w:p w14:paraId="0417E360" w14:textId="77777777" w:rsidR="006A2D41" w:rsidRPr="006A2D41" w:rsidRDefault="006A2D41" w:rsidP="00581F28">
            <w:pPr>
              <w:jc w:val="center"/>
            </w:pPr>
            <w:r w:rsidRPr="006A2D41">
              <w:t>Compteur mono-horaire</w:t>
            </w:r>
          </w:p>
          <w:p w14:paraId="11A25C96" w14:textId="168B9E56" w:rsidR="006A2D41" w:rsidRDefault="006A2D41" w:rsidP="00581F28">
            <w:pPr>
              <w:jc w:val="center"/>
            </w:pPr>
            <w:r w:rsidRPr="006A2D41">
              <w:t>3.500 kWh</w:t>
            </w:r>
          </w:p>
          <w:p w14:paraId="0546039E" w14:textId="77777777" w:rsidR="00581F28" w:rsidRDefault="00581F28" w:rsidP="00581F28">
            <w:pPr>
              <w:jc w:val="center"/>
            </w:pPr>
          </w:p>
          <w:p w14:paraId="237A8F13" w14:textId="1A533718" w:rsidR="00581F28" w:rsidRPr="006A2D41" w:rsidRDefault="00581F28" w:rsidP="00581F28">
            <w:pPr>
              <w:jc w:val="center"/>
            </w:pPr>
            <w:r>
              <w:t>(</w:t>
            </w:r>
            <w:proofErr w:type="gramStart"/>
            <w:r>
              <w:t>en</w:t>
            </w:r>
            <w:proofErr w:type="gramEnd"/>
            <w:r>
              <w:t xml:space="preserve"> €</w:t>
            </w:r>
            <w:r w:rsidR="000A2CF3">
              <w:t xml:space="preserve"> </w:t>
            </w:r>
            <w:proofErr w:type="spellStart"/>
            <w:r w:rsidR="000A2CF3">
              <w:t>htva</w:t>
            </w:r>
            <w:proofErr w:type="spellEnd"/>
            <w:r>
              <w:t>)</w:t>
            </w:r>
          </w:p>
        </w:tc>
        <w:tc>
          <w:tcPr>
            <w:tcW w:w="2127" w:type="dxa"/>
            <w:tcBorders>
              <w:top w:val="single" w:sz="4" w:space="0" w:color="auto"/>
              <w:left w:val="single" w:sz="4" w:space="0" w:color="auto"/>
              <w:bottom w:val="single" w:sz="4" w:space="0" w:color="auto"/>
              <w:right w:val="single" w:sz="4" w:space="0" w:color="auto"/>
            </w:tcBorders>
            <w:hideMark/>
          </w:tcPr>
          <w:p w14:paraId="2FCFA465" w14:textId="77777777" w:rsidR="006A2D41" w:rsidRPr="006A2D41" w:rsidRDefault="006A2D41" w:rsidP="00581F28">
            <w:pPr>
              <w:jc w:val="center"/>
            </w:pPr>
            <w:r w:rsidRPr="006A2D41">
              <w:t>Client basse tension</w:t>
            </w:r>
          </w:p>
          <w:p w14:paraId="4BE27E06" w14:textId="77777777" w:rsidR="006A2D41" w:rsidRPr="006A2D41" w:rsidRDefault="006A2D41" w:rsidP="00581F28">
            <w:pPr>
              <w:jc w:val="center"/>
            </w:pPr>
            <w:r w:rsidRPr="006A2D41">
              <w:t xml:space="preserve">Compteur </w:t>
            </w:r>
            <w:proofErr w:type="spellStart"/>
            <w:r w:rsidRPr="006A2D41">
              <w:t>bi-horaire</w:t>
            </w:r>
            <w:proofErr w:type="spellEnd"/>
          </w:p>
          <w:p w14:paraId="6BCBE4DA" w14:textId="77777777" w:rsidR="006A2D41" w:rsidRDefault="006A2D41" w:rsidP="00581F28">
            <w:pPr>
              <w:jc w:val="center"/>
            </w:pPr>
            <w:r w:rsidRPr="006A2D41">
              <w:t>1.600 kWh (jour) et 1.900 kWh (nuit)</w:t>
            </w:r>
          </w:p>
          <w:p w14:paraId="4B098305" w14:textId="112CAEB2" w:rsidR="00581F28" w:rsidRPr="006A2D41" w:rsidRDefault="00581F28" w:rsidP="00581F28">
            <w:pPr>
              <w:jc w:val="center"/>
            </w:pPr>
            <w:r>
              <w:t>(</w:t>
            </w:r>
            <w:proofErr w:type="gramStart"/>
            <w:r>
              <w:t>en</w:t>
            </w:r>
            <w:proofErr w:type="gramEnd"/>
            <w:r>
              <w:t xml:space="preserve"> €</w:t>
            </w:r>
            <w:r w:rsidR="000A2CF3">
              <w:t xml:space="preserve"> </w:t>
            </w:r>
            <w:proofErr w:type="spellStart"/>
            <w:r w:rsidR="000A2CF3">
              <w:t>htva</w:t>
            </w:r>
            <w:proofErr w:type="spellEnd"/>
            <w:r>
              <w:t>)</w:t>
            </w:r>
          </w:p>
        </w:tc>
        <w:tc>
          <w:tcPr>
            <w:tcW w:w="1692" w:type="dxa"/>
            <w:tcBorders>
              <w:top w:val="single" w:sz="4" w:space="0" w:color="auto"/>
              <w:left w:val="single" w:sz="4" w:space="0" w:color="auto"/>
              <w:bottom w:val="single" w:sz="4" w:space="0" w:color="auto"/>
              <w:right w:val="single" w:sz="4" w:space="0" w:color="auto"/>
            </w:tcBorders>
            <w:hideMark/>
          </w:tcPr>
          <w:p w14:paraId="46F444A9" w14:textId="77777777" w:rsidR="006A2D41" w:rsidRPr="006A2D41" w:rsidRDefault="006A2D41" w:rsidP="00581F28">
            <w:pPr>
              <w:jc w:val="center"/>
            </w:pPr>
            <w:r w:rsidRPr="006A2D41">
              <w:t>Trans-BT</w:t>
            </w:r>
          </w:p>
          <w:p w14:paraId="23FAEC2D" w14:textId="77777777" w:rsidR="006A2D41" w:rsidRPr="006A2D41" w:rsidRDefault="006A2D41" w:rsidP="00581F28">
            <w:pPr>
              <w:jc w:val="center"/>
            </w:pPr>
            <w:r w:rsidRPr="006A2D41">
              <w:t>(Eclairage public)</w:t>
            </w:r>
          </w:p>
          <w:p w14:paraId="71DE2E0D" w14:textId="77777777" w:rsidR="006A2D41" w:rsidRDefault="006A2D41" w:rsidP="00581F28">
            <w:pPr>
              <w:jc w:val="center"/>
            </w:pPr>
            <w:r w:rsidRPr="006A2D41">
              <w:t>30 MWh</w:t>
            </w:r>
          </w:p>
          <w:p w14:paraId="6C433996" w14:textId="7B01B2DA" w:rsidR="00581F28" w:rsidRPr="006A2D41" w:rsidRDefault="00581F28" w:rsidP="00581F28">
            <w:pPr>
              <w:jc w:val="center"/>
            </w:pPr>
            <w:r>
              <w:t>(</w:t>
            </w:r>
            <w:proofErr w:type="gramStart"/>
            <w:r>
              <w:t>en</w:t>
            </w:r>
            <w:proofErr w:type="gramEnd"/>
            <w:r>
              <w:t xml:space="preserve"> €</w:t>
            </w:r>
            <w:r w:rsidR="000A2CF3">
              <w:t xml:space="preserve"> </w:t>
            </w:r>
            <w:proofErr w:type="spellStart"/>
            <w:r w:rsidR="000A2CF3">
              <w:t>htva</w:t>
            </w:r>
            <w:proofErr w:type="spellEnd"/>
            <w:r>
              <w:t>)</w:t>
            </w:r>
          </w:p>
        </w:tc>
        <w:tc>
          <w:tcPr>
            <w:tcW w:w="1846" w:type="dxa"/>
            <w:tcBorders>
              <w:top w:val="single" w:sz="4" w:space="0" w:color="auto"/>
              <w:left w:val="single" w:sz="4" w:space="0" w:color="auto"/>
              <w:bottom w:val="single" w:sz="4" w:space="0" w:color="auto"/>
              <w:right w:val="single" w:sz="4" w:space="0" w:color="auto"/>
            </w:tcBorders>
          </w:tcPr>
          <w:p w14:paraId="6A051505" w14:textId="77777777" w:rsidR="006A2D41" w:rsidRPr="006A2D41" w:rsidRDefault="006A2D41" w:rsidP="00581F28">
            <w:pPr>
              <w:jc w:val="center"/>
            </w:pPr>
            <w:r w:rsidRPr="006A2D41">
              <w:t>Client moyenne tension</w:t>
            </w:r>
          </w:p>
          <w:p w14:paraId="60043F73" w14:textId="77777777" w:rsidR="006A2D41" w:rsidRPr="006A2D41" w:rsidRDefault="006A2D41" w:rsidP="00581F28">
            <w:pPr>
              <w:jc w:val="center"/>
            </w:pPr>
          </w:p>
          <w:p w14:paraId="71ACD926" w14:textId="77777777" w:rsidR="006A2D41" w:rsidRDefault="006A2D41" w:rsidP="00581F28">
            <w:pPr>
              <w:jc w:val="center"/>
            </w:pPr>
            <w:r w:rsidRPr="006A2D41">
              <w:t xml:space="preserve">2 </w:t>
            </w:r>
            <w:proofErr w:type="gramStart"/>
            <w:r w:rsidRPr="006A2D41">
              <w:t>GWh</w:t>
            </w:r>
            <w:proofErr w:type="gramEnd"/>
          </w:p>
          <w:p w14:paraId="1E03086E" w14:textId="0E022BFB" w:rsidR="00581F28" w:rsidRPr="006A2D41" w:rsidRDefault="00581F28" w:rsidP="00581F28">
            <w:pPr>
              <w:jc w:val="center"/>
            </w:pPr>
            <w:r>
              <w:t>(</w:t>
            </w:r>
            <w:proofErr w:type="gramStart"/>
            <w:r>
              <w:t>en</w:t>
            </w:r>
            <w:proofErr w:type="gramEnd"/>
            <w:r>
              <w:t xml:space="preserve"> €</w:t>
            </w:r>
            <w:r w:rsidR="000A2CF3">
              <w:t xml:space="preserve"> </w:t>
            </w:r>
            <w:proofErr w:type="spellStart"/>
            <w:r w:rsidR="000A2CF3">
              <w:t>htva</w:t>
            </w:r>
            <w:proofErr w:type="spellEnd"/>
            <w:r>
              <w:t>)</w:t>
            </w:r>
          </w:p>
        </w:tc>
      </w:tr>
      <w:tr w:rsidR="006A2D41" w:rsidRPr="006A2D41" w14:paraId="35D5BB03" w14:textId="77777777" w:rsidTr="006A2D41">
        <w:tc>
          <w:tcPr>
            <w:tcW w:w="880" w:type="dxa"/>
            <w:tcBorders>
              <w:top w:val="single" w:sz="4" w:space="0" w:color="auto"/>
              <w:left w:val="single" w:sz="4" w:space="0" w:color="auto"/>
              <w:bottom w:val="single" w:sz="4" w:space="0" w:color="auto"/>
              <w:right w:val="single" w:sz="4" w:space="0" w:color="auto"/>
            </w:tcBorders>
            <w:hideMark/>
          </w:tcPr>
          <w:p w14:paraId="0FA1ADDD" w14:textId="77777777" w:rsidR="006A2D41" w:rsidRPr="006A2D41" w:rsidRDefault="006A2D41" w:rsidP="006A2D41">
            <w:pPr>
              <w:jc w:val="both"/>
            </w:pPr>
            <w:r w:rsidRPr="006A2D41">
              <w:t>2019</w:t>
            </w:r>
          </w:p>
        </w:tc>
        <w:tc>
          <w:tcPr>
            <w:tcW w:w="2517" w:type="dxa"/>
            <w:tcBorders>
              <w:top w:val="single" w:sz="4" w:space="0" w:color="auto"/>
              <w:left w:val="single" w:sz="4" w:space="0" w:color="auto"/>
              <w:bottom w:val="single" w:sz="4" w:space="0" w:color="auto"/>
              <w:right w:val="single" w:sz="4" w:space="0" w:color="auto"/>
            </w:tcBorders>
          </w:tcPr>
          <w:p w14:paraId="4897A178" w14:textId="77777777" w:rsidR="006A2D41" w:rsidRPr="006A2D41" w:rsidRDefault="006A2D41" w:rsidP="006A2D41">
            <w:pPr>
              <w:jc w:val="both"/>
            </w:pPr>
          </w:p>
        </w:tc>
        <w:tc>
          <w:tcPr>
            <w:tcW w:w="2127" w:type="dxa"/>
            <w:tcBorders>
              <w:top w:val="single" w:sz="4" w:space="0" w:color="auto"/>
              <w:left w:val="single" w:sz="4" w:space="0" w:color="auto"/>
              <w:bottom w:val="single" w:sz="4" w:space="0" w:color="auto"/>
              <w:right w:val="single" w:sz="4" w:space="0" w:color="auto"/>
            </w:tcBorders>
          </w:tcPr>
          <w:p w14:paraId="7C1A5C8B" w14:textId="77777777" w:rsidR="006A2D41" w:rsidRPr="006A2D41" w:rsidRDefault="006A2D41" w:rsidP="006A2D41">
            <w:pPr>
              <w:jc w:val="both"/>
            </w:pPr>
          </w:p>
        </w:tc>
        <w:tc>
          <w:tcPr>
            <w:tcW w:w="1692" w:type="dxa"/>
            <w:tcBorders>
              <w:top w:val="single" w:sz="4" w:space="0" w:color="auto"/>
              <w:left w:val="single" w:sz="4" w:space="0" w:color="auto"/>
              <w:bottom w:val="single" w:sz="4" w:space="0" w:color="auto"/>
              <w:right w:val="single" w:sz="4" w:space="0" w:color="auto"/>
            </w:tcBorders>
          </w:tcPr>
          <w:p w14:paraId="1A5D4C8A" w14:textId="77777777" w:rsidR="006A2D41" w:rsidRPr="006A2D41" w:rsidRDefault="006A2D41" w:rsidP="006A2D41">
            <w:pPr>
              <w:jc w:val="both"/>
            </w:pPr>
          </w:p>
        </w:tc>
        <w:tc>
          <w:tcPr>
            <w:tcW w:w="1846" w:type="dxa"/>
            <w:tcBorders>
              <w:top w:val="single" w:sz="4" w:space="0" w:color="auto"/>
              <w:left w:val="single" w:sz="4" w:space="0" w:color="auto"/>
              <w:bottom w:val="single" w:sz="4" w:space="0" w:color="auto"/>
              <w:right w:val="single" w:sz="4" w:space="0" w:color="auto"/>
            </w:tcBorders>
          </w:tcPr>
          <w:p w14:paraId="084E1058" w14:textId="77777777" w:rsidR="006A2D41" w:rsidRPr="006A2D41" w:rsidRDefault="006A2D41" w:rsidP="006A2D41">
            <w:pPr>
              <w:jc w:val="both"/>
            </w:pPr>
          </w:p>
        </w:tc>
      </w:tr>
      <w:tr w:rsidR="006A2D41" w:rsidRPr="006A2D41" w14:paraId="1F2E67DF" w14:textId="77777777" w:rsidTr="006A2D41">
        <w:tc>
          <w:tcPr>
            <w:tcW w:w="880" w:type="dxa"/>
            <w:tcBorders>
              <w:top w:val="single" w:sz="4" w:space="0" w:color="auto"/>
              <w:left w:val="single" w:sz="4" w:space="0" w:color="auto"/>
              <w:bottom w:val="single" w:sz="4" w:space="0" w:color="auto"/>
              <w:right w:val="single" w:sz="4" w:space="0" w:color="auto"/>
            </w:tcBorders>
            <w:hideMark/>
          </w:tcPr>
          <w:p w14:paraId="63744106" w14:textId="77777777" w:rsidR="006A2D41" w:rsidRPr="006A2D41" w:rsidRDefault="006A2D41" w:rsidP="006A2D41">
            <w:pPr>
              <w:jc w:val="both"/>
            </w:pPr>
            <w:r w:rsidRPr="006A2D41">
              <w:t xml:space="preserve">2020 </w:t>
            </w:r>
          </w:p>
        </w:tc>
        <w:tc>
          <w:tcPr>
            <w:tcW w:w="2517" w:type="dxa"/>
            <w:tcBorders>
              <w:top w:val="single" w:sz="4" w:space="0" w:color="auto"/>
              <w:left w:val="single" w:sz="4" w:space="0" w:color="auto"/>
              <w:bottom w:val="single" w:sz="4" w:space="0" w:color="auto"/>
              <w:right w:val="single" w:sz="4" w:space="0" w:color="auto"/>
            </w:tcBorders>
          </w:tcPr>
          <w:p w14:paraId="7DEF6256" w14:textId="77777777" w:rsidR="006A2D41" w:rsidRPr="006A2D41" w:rsidRDefault="006A2D41" w:rsidP="006A2D41">
            <w:pPr>
              <w:jc w:val="both"/>
            </w:pPr>
          </w:p>
        </w:tc>
        <w:tc>
          <w:tcPr>
            <w:tcW w:w="2127" w:type="dxa"/>
            <w:tcBorders>
              <w:top w:val="single" w:sz="4" w:space="0" w:color="auto"/>
              <w:left w:val="single" w:sz="4" w:space="0" w:color="auto"/>
              <w:bottom w:val="single" w:sz="4" w:space="0" w:color="auto"/>
              <w:right w:val="single" w:sz="4" w:space="0" w:color="auto"/>
            </w:tcBorders>
          </w:tcPr>
          <w:p w14:paraId="639C714E" w14:textId="77777777" w:rsidR="006A2D41" w:rsidRPr="006A2D41" w:rsidRDefault="006A2D41" w:rsidP="006A2D41">
            <w:pPr>
              <w:jc w:val="both"/>
            </w:pPr>
          </w:p>
        </w:tc>
        <w:tc>
          <w:tcPr>
            <w:tcW w:w="1692" w:type="dxa"/>
            <w:tcBorders>
              <w:top w:val="single" w:sz="4" w:space="0" w:color="auto"/>
              <w:left w:val="single" w:sz="4" w:space="0" w:color="auto"/>
              <w:bottom w:val="single" w:sz="4" w:space="0" w:color="auto"/>
              <w:right w:val="single" w:sz="4" w:space="0" w:color="auto"/>
            </w:tcBorders>
          </w:tcPr>
          <w:p w14:paraId="03B3A51E" w14:textId="77777777" w:rsidR="006A2D41" w:rsidRPr="006A2D41" w:rsidRDefault="006A2D41" w:rsidP="006A2D41">
            <w:pPr>
              <w:jc w:val="both"/>
            </w:pPr>
          </w:p>
        </w:tc>
        <w:tc>
          <w:tcPr>
            <w:tcW w:w="1846" w:type="dxa"/>
            <w:tcBorders>
              <w:top w:val="single" w:sz="4" w:space="0" w:color="auto"/>
              <w:left w:val="single" w:sz="4" w:space="0" w:color="auto"/>
              <w:bottom w:val="single" w:sz="4" w:space="0" w:color="auto"/>
              <w:right w:val="single" w:sz="4" w:space="0" w:color="auto"/>
            </w:tcBorders>
          </w:tcPr>
          <w:p w14:paraId="1DD212F8" w14:textId="77777777" w:rsidR="006A2D41" w:rsidRPr="006A2D41" w:rsidRDefault="006A2D41" w:rsidP="006A2D41">
            <w:pPr>
              <w:jc w:val="both"/>
            </w:pPr>
          </w:p>
        </w:tc>
      </w:tr>
      <w:tr w:rsidR="006A2D41" w:rsidRPr="006A2D41" w14:paraId="7EB1A5FD" w14:textId="77777777" w:rsidTr="006A2D41">
        <w:tc>
          <w:tcPr>
            <w:tcW w:w="880" w:type="dxa"/>
            <w:tcBorders>
              <w:top w:val="single" w:sz="4" w:space="0" w:color="auto"/>
              <w:left w:val="single" w:sz="4" w:space="0" w:color="auto"/>
              <w:bottom w:val="single" w:sz="4" w:space="0" w:color="auto"/>
              <w:right w:val="single" w:sz="4" w:space="0" w:color="auto"/>
            </w:tcBorders>
            <w:hideMark/>
          </w:tcPr>
          <w:p w14:paraId="52539D31" w14:textId="77777777" w:rsidR="006A2D41" w:rsidRPr="006A2D41" w:rsidRDefault="006A2D41" w:rsidP="006A2D41">
            <w:pPr>
              <w:jc w:val="both"/>
            </w:pPr>
            <w:r w:rsidRPr="006A2D41">
              <w:t xml:space="preserve">2021 </w:t>
            </w:r>
          </w:p>
        </w:tc>
        <w:tc>
          <w:tcPr>
            <w:tcW w:w="2517" w:type="dxa"/>
            <w:tcBorders>
              <w:top w:val="single" w:sz="4" w:space="0" w:color="auto"/>
              <w:left w:val="single" w:sz="4" w:space="0" w:color="auto"/>
              <w:bottom w:val="single" w:sz="4" w:space="0" w:color="auto"/>
              <w:right w:val="single" w:sz="4" w:space="0" w:color="auto"/>
            </w:tcBorders>
          </w:tcPr>
          <w:p w14:paraId="6CC25011" w14:textId="77777777" w:rsidR="006A2D41" w:rsidRPr="006A2D41" w:rsidRDefault="006A2D41" w:rsidP="006A2D41">
            <w:pPr>
              <w:jc w:val="both"/>
            </w:pPr>
          </w:p>
        </w:tc>
        <w:tc>
          <w:tcPr>
            <w:tcW w:w="2127" w:type="dxa"/>
            <w:tcBorders>
              <w:top w:val="single" w:sz="4" w:space="0" w:color="auto"/>
              <w:left w:val="single" w:sz="4" w:space="0" w:color="auto"/>
              <w:bottom w:val="single" w:sz="4" w:space="0" w:color="auto"/>
              <w:right w:val="single" w:sz="4" w:space="0" w:color="auto"/>
            </w:tcBorders>
          </w:tcPr>
          <w:p w14:paraId="75869243" w14:textId="77777777" w:rsidR="006A2D41" w:rsidRPr="006A2D41" w:rsidRDefault="006A2D41" w:rsidP="006A2D41">
            <w:pPr>
              <w:jc w:val="both"/>
            </w:pPr>
          </w:p>
        </w:tc>
        <w:tc>
          <w:tcPr>
            <w:tcW w:w="1692" w:type="dxa"/>
            <w:tcBorders>
              <w:top w:val="single" w:sz="4" w:space="0" w:color="auto"/>
              <w:left w:val="single" w:sz="4" w:space="0" w:color="auto"/>
              <w:bottom w:val="single" w:sz="4" w:space="0" w:color="auto"/>
              <w:right w:val="single" w:sz="4" w:space="0" w:color="auto"/>
            </w:tcBorders>
          </w:tcPr>
          <w:p w14:paraId="46A5F85E" w14:textId="77777777" w:rsidR="006A2D41" w:rsidRPr="006A2D41" w:rsidRDefault="006A2D41" w:rsidP="006A2D41">
            <w:pPr>
              <w:jc w:val="both"/>
            </w:pPr>
          </w:p>
        </w:tc>
        <w:tc>
          <w:tcPr>
            <w:tcW w:w="1846" w:type="dxa"/>
            <w:tcBorders>
              <w:top w:val="single" w:sz="4" w:space="0" w:color="auto"/>
              <w:left w:val="single" w:sz="4" w:space="0" w:color="auto"/>
              <w:bottom w:val="single" w:sz="4" w:space="0" w:color="auto"/>
              <w:right w:val="single" w:sz="4" w:space="0" w:color="auto"/>
            </w:tcBorders>
          </w:tcPr>
          <w:p w14:paraId="68361ADE" w14:textId="77777777" w:rsidR="006A2D41" w:rsidRPr="006A2D41" w:rsidRDefault="006A2D41" w:rsidP="006A2D41">
            <w:pPr>
              <w:jc w:val="both"/>
            </w:pPr>
          </w:p>
        </w:tc>
      </w:tr>
      <w:tr w:rsidR="006A2D41" w:rsidRPr="006A2D41" w14:paraId="35346329" w14:textId="77777777" w:rsidTr="006A2D41">
        <w:tc>
          <w:tcPr>
            <w:tcW w:w="880" w:type="dxa"/>
            <w:tcBorders>
              <w:top w:val="single" w:sz="4" w:space="0" w:color="auto"/>
              <w:left w:val="single" w:sz="4" w:space="0" w:color="auto"/>
              <w:bottom w:val="single" w:sz="4" w:space="0" w:color="auto"/>
              <w:right w:val="single" w:sz="4" w:space="0" w:color="auto"/>
            </w:tcBorders>
            <w:hideMark/>
          </w:tcPr>
          <w:p w14:paraId="0039D7F8" w14:textId="77777777" w:rsidR="006A2D41" w:rsidRPr="006A2D41" w:rsidRDefault="006A2D41" w:rsidP="006A2D41">
            <w:pPr>
              <w:jc w:val="both"/>
            </w:pPr>
            <w:r w:rsidRPr="006A2D41">
              <w:t xml:space="preserve">2022 </w:t>
            </w:r>
          </w:p>
        </w:tc>
        <w:tc>
          <w:tcPr>
            <w:tcW w:w="2517" w:type="dxa"/>
            <w:tcBorders>
              <w:top w:val="single" w:sz="4" w:space="0" w:color="auto"/>
              <w:left w:val="single" w:sz="4" w:space="0" w:color="auto"/>
              <w:bottom w:val="single" w:sz="4" w:space="0" w:color="auto"/>
              <w:right w:val="single" w:sz="4" w:space="0" w:color="auto"/>
            </w:tcBorders>
          </w:tcPr>
          <w:p w14:paraId="461EFEB7" w14:textId="77777777" w:rsidR="006A2D41" w:rsidRPr="006A2D41" w:rsidRDefault="006A2D41" w:rsidP="006A2D41">
            <w:pPr>
              <w:jc w:val="both"/>
            </w:pPr>
          </w:p>
        </w:tc>
        <w:tc>
          <w:tcPr>
            <w:tcW w:w="2127" w:type="dxa"/>
            <w:tcBorders>
              <w:top w:val="single" w:sz="4" w:space="0" w:color="auto"/>
              <w:left w:val="single" w:sz="4" w:space="0" w:color="auto"/>
              <w:bottom w:val="single" w:sz="4" w:space="0" w:color="auto"/>
              <w:right w:val="single" w:sz="4" w:space="0" w:color="auto"/>
            </w:tcBorders>
          </w:tcPr>
          <w:p w14:paraId="2E1E801C" w14:textId="77777777" w:rsidR="006A2D41" w:rsidRPr="006A2D41" w:rsidRDefault="006A2D41" w:rsidP="006A2D41">
            <w:pPr>
              <w:jc w:val="both"/>
            </w:pPr>
          </w:p>
        </w:tc>
        <w:tc>
          <w:tcPr>
            <w:tcW w:w="1692" w:type="dxa"/>
            <w:tcBorders>
              <w:top w:val="single" w:sz="4" w:space="0" w:color="auto"/>
              <w:left w:val="single" w:sz="4" w:space="0" w:color="auto"/>
              <w:bottom w:val="single" w:sz="4" w:space="0" w:color="auto"/>
              <w:right w:val="single" w:sz="4" w:space="0" w:color="auto"/>
            </w:tcBorders>
          </w:tcPr>
          <w:p w14:paraId="63257AED" w14:textId="77777777" w:rsidR="006A2D41" w:rsidRPr="006A2D41" w:rsidRDefault="006A2D41" w:rsidP="006A2D41">
            <w:pPr>
              <w:jc w:val="both"/>
            </w:pPr>
          </w:p>
        </w:tc>
        <w:tc>
          <w:tcPr>
            <w:tcW w:w="1846" w:type="dxa"/>
            <w:tcBorders>
              <w:top w:val="single" w:sz="4" w:space="0" w:color="auto"/>
              <w:left w:val="single" w:sz="4" w:space="0" w:color="auto"/>
              <w:bottom w:val="single" w:sz="4" w:space="0" w:color="auto"/>
              <w:right w:val="single" w:sz="4" w:space="0" w:color="auto"/>
            </w:tcBorders>
          </w:tcPr>
          <w:p w14:paraId="2FE9BE40" w14:textId="77777777" w:rsidR="006A2D41" w:rsidRPr="006A2D41" w:rsidRDefault="006A2D41" w:rsidP="006A2D41">
            <w:pPr>
              <w:jc w:val="both"/>
            </w:pPr>
          </w:p>
        </w:tc>
      </w:tr>
      <w:tr w:rsidR="006A2D41" w:rsidRPr="006A2D41" w14:paraId="4E18B068" w14:textId="77777777" w:rsidTr="006A2D41">
        <w:tc>
          <w:tcPr>
            <w:tcW w:w="880" w:type="dxa"/>
            <w:tcBorders>
              <w:top w:val="single" w:sz="4" w:space="0" w:color="auto"/>
              <w:left w:val="single" w:sz="4" w:space="0" w:color="auto"/>
              <w:bottom w:val="single" w:sz="4" w:space="0" w:color="auto"/>
              <w:right w:val="single" w:sz="4" w:space="0" w:color="auto"/>
            </w:tcBorders>
            <w:hideMark/>
          </w:tcPr>
          <w:p w14:paraId="35CCE16E" w14:textId="77777777" w:rsidR="006A2D41" w:rsidRPr="006A2D41" w:rsidRDefault="006A2D41" w:rsidP="006A2D41">
            <w:pPr>
              <w:jc w:val="both"/>
            </w:pPr>
            <w:r w:rsidRPr="006A2D41">
              <w:t xml:space="preserve">2023 </w:t>
            </w:r>
          </w:p>
        </w:tc>
        <w:tc>
          <w:tcPr>
            <w:tcW w:w="2517" w:type="dxa"/>
            <w:tcBorders>
              <w:top w:val="single" w:sz="4" w:space="0" w:color="auto"/>
              <w:left w:val="single" w:sz="4" w:space="0" w:color="auto"/>
              <w:bottom w:val="single" w:sz="4" w:space="0" w:color="auto"/>
              <w:right w:val="single" w:sz="4" w:space="0" w:color="auto"/>
            </w:tcBorders>
          </w:tcPr>
          <w:p w14:paraId="0FF10205" w14:textId="77777777" w:rsidR="006A2D41" w:rsidRPr="006A2D41" w:rsidRDefault="006A2D41" w:rsidP="006A2D41">
            <w:pPr>
              <w:jc w:val="both"/>
            </w:pPr>
          </w:p>
        </w:tc>
        <w:tc>
          <w:tcPr>
            <w:tcW w:w="2127" w:type="dxa"/>
            <w:tcBorders>
              <w:top w:val="single" w:sz="4" w:space="0" w:color="auto"/>
              <w:left w:val="single" w:sz="4" w:space="0" w:color="auto"/>
              <w:bottom w:val="single" w:sz="4" w:space="0" w:color="auto"/>
              <w:right w:val="single" w:sz="4" w:space="0" w:color="auto"/>
            </w:tcBorders>
          </w:tcPr>
          <w:p w14:paraId="2BE7311D" w14:textId="77777777" w:rsidR="006A2D41" w:rsidRPr="006A2D41" w:rsidRDefault="006A2D41" w:rsidP="006A2D41">
            <w:pPr>
              <w:jc w:val="both"/>
            </w:pPr>
          </w:p>
        </w:tc>
        <w:tc>
          <w:tcPr>
            <w:tcW w:w="1692" w:type="dxa"/>
            <w:tcBorders>
              <w:top w:val="single" w:sz="4" w:space="0" w:color="auto"/>
              <w:left w:val="single" w:sz="4" w:space="0" w:color="auto"/>
              <w:bottom w:val="single" w:sz="4" w:space="0" w:color="auto"/>
              <w:right w:val="single" w:sz="4" w:space="0" w:color="auto"/>
            </w:tcBorders>
          </w:tcPr>
          <w:p w14:paraId="5F540152" w14:textId="77777777" w:rsidR="006A2D41" w:rsidRPr="006A2D41" w:rsidRDefault="006A2D41" w:rsidP="006A2D41">
            <w:pPr>
              <w:jc w:val="both"/>
            </w:pPr>
          </w:p>
        </w:tc>
        <w:tc>
          <w:tcPr>
            <w:tcW w:w="1846" w:type="dxa"/>
            <w:tcBorders>
              <w:top w:val="single" w:sz="4" w:space="0" w:color="auto"/>
              <w:left w:val="single" w:sz="4" w:space="0" w:color="auto"/>
              <w:bottom w:val="single" w:sz="4" w:space="0" w:color="auto"/>
              <w:right w:val="single" w:sz="4" w:space="0" w:color="auto"/>
            </w:tcBorders>
          </w:tcPr>
          <w:p w14:paraId="34C3942F" w14:textId="77777777" w:rsidR="006A2D41" w:rsidRPr="006A2D41" w:rsidRDefault="006A2D41" w:rsidP="006A2D41">
            <w:pPr>
              <w:jc w:val="both"/>
            </w:pPr>
          </w:p>
        </w:tc>
      </w:tr>
      <w:bookmarkEnd w:id="0"/>
    </w:tbl>
    <w:p w14:paraId="24345DC0" w14:textId="390FBDD9" w:rsidR="00581F28" w:rsidRDefault="00581F28" w:rsidP="006A2D41">
      <w:pPr>
        <w:spacing w:line="256" w:lineRule="auto"/>
        <w:jc w:val="both"/>
        <w:rPr>
          <w:rFonts w:ascii="Calibri" w:eastAsia="Calibri" w:hAnsi="Calibri" w:cs="Times New Roman"/>
        </w:rPr>
      </w:pPr>
    </w:p>
    <w:p w14:paraId="6BF1DF48" w14:textId="06362889" w:rsidR="006A2D41" w:rsidRDefault="00D3706F" w:rsidP="00D51785">
      <w:pPr>
        <w:rPr>
          <w:rFonts w:ascii="Calibri" w:eastAsia="Calibri" w:hAnsi="Calibri" w:cs="Times New Roman"/>
        </w:rPr>
      </w:pPr>
      <w:r>
        <w:rPr>
          <w:rFonts w:ascii="Calibri" w:eastAsia="Calibri" w:hAnsi="Calibri" w:cs="Times New Roman"/>
        </w:rPr>
        <w:t>Envisagez-vous une évolution de la facturation d’utilisation du réseau qui favorise la synchronisation entre production locale et consommation locale ?</w:t>
      </w:r>
    </w:p>
    <w:p w14:paraId="10C74C72" w14:textId="77777777" w:rsidR="00D3706F" w:rsidRPr="006A2D41" w:rsidRDefault="00D3706F" w:rsidP="00D51785">
      <w:pPr>
        <w:rPr>
          <w:rFonts w:ascii="Calibri" w:eastAsia="Calibri" w:hAnsi="Calibri" w:cs="Times New Roman"/>
        </w:rPr>
      </w:pPr>
    </w:p>
    <w:p w14:paraId="07FD4BAC" w14:textId="311737EF" w:rsidR="006A2D41" w:rsidRDefault="006A2D41" w:rsidP="006A2D41">
      <w:pPr>
        <w:numPr>
          <w:ilvl w:val="1"/>
          <w:numId w:val="2"/>
        </w:numPr>
        <w:spacing w:line="256" w:lineRule="auto"/>
        <w:contextualSpacing/>
        <w:jc w:val="both"/>
        <w:rPr>
          <w:rFonts w:ascii="Calibri" w:eastAsia="Calibri" w:hAnsi="Calibri" w:cs="Times New Roman"/>
          <w:b/>
          <w:bCs/>
          <w:color w:val="4472C4" w:themeColor="accent1"/>
          <w:u w:val="single"/>
        </w:rPr>
      </w:pPr>
      <w:r w:rsidRPr="006A2D41">
        <w:rPr>
          <w:rFonts w:ascii="Calibri" w:eastAsia="Calibri" w:hAnsi="Calibri" w:cs="Times New Roman"/>
          <w:b/>
          <w:bCs/>
          <w:color w:val="4472C4" w:themeColor="accent1"/>
          <w:u w:val="single"/>
        </w:rPr>
        <w:t>Investissements</w:t>
      </w:r>
    </w:p>
    <w:p w14:paraId="62C9909B" w14:textId="77777777" w:rsidR="006A2D41" w:rsidRPr="006A2D41" w:rsidRDefault="006A2D41" w:rsidP="006A2D41">
      <w:pPr>
        <w:spacing w:line="256" w:lineRule="auto"/>
        <w:ind w:left="360"/>
        <w:contextualSpacing/>
        <w:jc w:val="both"/>
        <w:rPr>
          <w:rFonts w:ascii="Calibri" w:eastAsia="Calibri" w:hAnsi="Calibri" w:cs="Times New Roman"/>
          <w:b/>
          <w:bCs/>
          <w:color w:val="4472C4" w:themeColor="accent1"/>
          <w:u w:val="single"/>
        </w:rPr>
      </w:pPr>
    </w:p>
    <w:p w14:paraId="1B4CAC73" w14:textId="77777777"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Pour maintenir ou accroître la qualité des réseaux de distribution au bénéfice des citoyens et des entreprises, il importe pour la commune que le candidat GRD investisse suffisamment dans son réseau.</w:t>
      </w:r>
    </w:p>
    <w:p w14:paraId="4A047965" w14:textId="2B06D355" w:rsidR="003D0AC5" w:rsidRPr="006A2D41" w:rsidRDefault="003D0AC5" w:rsidP="006A2D41">
      <w:pPr>
        <w:spacing w:line="256" w:lineRule="auto"/>
        <w:jc w:val="both"/>
        <w:rPr>
          <w:rFonts w:ascii="Calibri" w:eastAsia="Calibri" w:hAnsi="Calibri" w:cs="Times New Roman"/>
        </w:rPr>
      </w:pPr>
      <w:r>
        <w:rPr>
          <w:rFonts w:ascii="Calibri" w:eastAsia="Calibri" w:hAnsi="Calibri" w:cs="Times New Roman"/>
          <w:color w:val="000000" w:themeColor="text1"/>
        </w:rPr>
        <w:t>Veuillez indiquer, ci-dessous, le montant total des investissements réalisés en 2019 et 2020 et prévus pour les années 2021, 2022 et 2023.</w:t>
      </w:r>
    </w:p>
    <w:p w14:paraId="473A5048" w14:textId="77777777"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lastRenderedPageBreak/>
        <w:t>Expliquez brièvement votre politique d’investissement pour les années 2021 à 2025 sur le territoire de la commune pour laquelle vous posez votre candidature comme GRD.</w:t>
      </w:r>
    </w:p>
    <w:p w14:paraId="2326B68B" w14:textId="77777777" w:rsidR="006A2D41" w:rsidRPr="006A2D41" w:rsidRDefault="006A2D41" w:rsidP="006A2D41">
      <w:pPr>
        <w:spacing w:line="256" w:lineRule="auto"/>
        <w:jc w:val="both"/>
        <w:rPr>
          <w:rFonts w:ascii="Calibri" w:eastAsia="Calibri" w:hAnsi="Calibri" w:cs="Times New Roman"/>
        </w:rPr>
      </w:pPr>
    </w:p>
    <w:tbl>
      <w:tblPr>
        <w:tblStyle w:val="Grilledutableau"/>
        <w:tblW w:w="0" w:type="auto"/>
        <w:tblInd w:w="0" w:type="dxa"/>
        <w:tblLook w:val="04A0" w:firstRow="1" w:lastRow="0" w:firstColumn="1" w:lastColumn="0" w:noHBand="0" w:noVBand="1"/>
      </w:tblPr>
      <w:tblGrid>
        <w:gridCol w:w="2265"/>
        <w:gridCol w:w="2265"/>
        <w:gridCol w:w="2266"/>
        <w:gridCol w:w="2266"/>
      </w:tblGrid>
      <w:tr w:rsidR="006A2D41" w:rsidRPr="006A2D41" w14:paraId="084C7EA5" w14:textId="77777777" w:rsidTr="006A2D41">
        <w:tc>
          <w:tcPr>
            <w:tcW w:w="2265" w:type="dxa"/>
            <w:tcBorders>
              <w:top w:val="single" w:sz="4" w:space="0" w:color="auto"/>
              <w:left w:val="single" w:sz="4" w:space="0" w:color="auto"/>
              <w:bottom w:val="single" w:sz="4" w:space="0" w:color="auto"/>
              <w:right w:val="single" w:sz="4" w:space="0" w:color="auto"/>
            </w:tcBorders>
            <w:hideMark/>
          </w:tcPr>
          <w:p w14:paraId="1F35CAEA" w14:textId="77777777" w:rsidR="006A2D41" w:rsidRPr="006A2D41" w:rsidRDefault="006A2D41" w:rsidP="006A2D41">
            <w:pPr>
              <w:jc w:val="both"/>
            </w:pPr>
            <w:r w:rsidRPr="006A2D41">
              <w:t>Année</w:t>
            </w:r>
          </w:p>
        </w:tc>
        <w:tc>
          <w:tcPr>
            <w:tcW w:w="2265" w:type="dxa"/>
            <w:tcBorders>
              <w:top w:val="single" w:sz="4" w:space="0" w:color="auto"/>
              <w:left w:val="single" w:sz="4" w:space="0" w:color="auto"/>
              <w:bottom w:val="single" w:sz="4" w:space="0" w:color="auto"/>
              <w:right w:val="single" w:sz="4" w:space="0" w:color="auto"/>
            </w:tcBorders>
            <w:hideMark/>
          </w:tcPr>
          <w:p w14:paraId="5D0BEB04" w14:textId="77777777" w:rsidR="0016406C" w:rsidRDefault="006A2D41" w:rsidP="00581F28">
            <w:pPr>
              <w:jc w:val="center"/>
            </w:pPr>
            <w:r w:rsidRPr="006A2D41">
              <w:t xml:space="preserve">Investissements </w:t>
            </w:r>
          </w:p>
          <w:p w14:paraId="6DB6335E" w14:textId="05F682FE" w:rsidR="006A2D41" w:rsidRPr="006A2D41" w:rsidRDefault="003D0AC5" w:rsidP="00581F28">
            <w:pPr>
              <w:jc w:val="center"/>
            </w:pPr>
            <w:r>
              <w:t>(</w:t>
            </w:r>
            <w:proofErr w:type="gramStart"/>
            <w:r w:rsidR="006A2D41" w:rsidRPr="006A2D41">
              <w:t>en</w:t>
            </w:r>
            <w:proofErr w:type="gramEnd"/>
            <w:r w:rsidR="006A2D41" w:rsidRPr="006A2D41">
              <w:t xml:space="preserve"> </w:t>
            </w:r>
            <w:r>
              <w:t>€</w:t>
            </w:r>
            <w:r w:rsidR="0016406C">
              <w:t xml:space="preserve"> </w:t>
            </w:r>
            <w:proofErr w:type="spellStart"/>
            <w:r w:rsidR="0016406C">
              <w:t>tvac</w:t>
            </w:r>
            <w:proofErr w:type="spellEnd"/>
            <w:r>
              <w:t>)</w:t>
            </w:r>
          </w:p>
        </w:tc>
        <w:tc>
          <w:tcPr>
            <w:tcW w:w="2266" w:type="dxa"/>
            <w:tcBorders>
              <w:top w:val="single" w:sz="4" w:space="0" w:color="auto"/>
              <w:left w:val="single" w:sz="4" w:space="0" w:color="auto"/>
              <w:bottom w:val="single" w:sz="4" w:space="0" w:color="auto"/>
              <w:right w:val="single" w:sz="4" w:space="0" w:color="auto"/>
            </w:tcBorders>
            <w:hideMark/>
          </w:tcPr>
          <w:p w14:paraId="01DD9E7B" w14:textId="77777777" w:rsidR="006A2D41" w:rsidRPr="006A2D41" w:rsidRDefault="006A2D41" w:rsidP="00581F28">
            <w:pPr>
              <w:jc w:val="center"/>
            </w:pPr>
            <w:r w:rsidRPr="006A2D41">
              <w:t>Nombre de clients (EAN)</w:t>
            </w:r>
          </w:p>
        </w:tc>
        <w:tc>
          <w:tcPr>
            <w:tcW w:w="2266" w:type="dxa"/>
            <w:tcBorders>
              <w:top w:val="single" w:sz="4" w:space="0" w:color="auto"/>
              <w:left w:val="single" w:sz="4" w:space="0" w:color="auto"/>
              <w:bottom w:val="single" w:sz="4" w:space="0" w:color="auto"/>
              <w:right w:val="single" w:sz="4" w:space="0" w:color="auto"/>
            </w:tcBorders>
            <w:hideMark/>
          </w:tcPr>
          <w:p w14:paraId="2E157594" w14:textId="77777777" w:rsidR="006A2D41" w:rsidRPr="006A2D41" w:rsidRDefault="006A2D41" w:rsidP="00581F28">
            <w:pPr>
              <w:jc w:val="center"/>
            </w:pPr>
            <w:r w:rsidRPr="006A2D41">
              <w:t>Investissements (</w:t>
            </w:r>
            <w:proofErr w:type="gramStart"/>
            <w:r w:rsidRPr="006A2D41">
              <w:t>€)/</w:t>
            </w:r>
            <w:proofErr w:type="gramEnd"/>
            <w:r w:rsidRPr="006A2D41">
              <w:t>EAN</w:t>
            </w:r>
          </w:p>
        </w:tc>
      </w:tr>
      <w:tr w:rsidR="006A2D41" w:rsidRPr="006A2D41" w14:paraId="38EA2E1E" w14:textId="77777777" w:rsidTr="006A2D41">
        <w:tc>
          <w:tcPr>
            <w:tcW w:w="2265" w:type="dxa"/>
            <w:tcBorders>
              <w:top w:val="single" w:sz="4" w:space="0" w:color="auto"/>
              <w:left w:val="single" w:sz="4" w:space="0" w:color="auto"/>
              <w:bottom w:val="single" w:sz="4" w:space="0" w:color="auto"/>
              <w:right w:val="single" w:sz="4" w:space="0" w:color="auto"/>
            </w:tcBorders>
            <w:hideMark/>
          </w:tcPr>
          <w:p w14:paraId="79A33C2E" w14:textId="77777777" w:rsidR="006A2D41" w:rsidRPr="006A2D41" w:rsidRDefault="006A2D41" w:rsidP="006A2D41">
            <w:pPr>
              <w:jc w:val="both"/>
            </w:pPr>
            <w:r w:rsidRPr="006A2D41">
              <w:t>2019</w:t>
            </w:r>
          </w:p>
        </w:tc>
        <w:tc>
          <w:tcPr>
            <w:tcW w:w="2265" w:type="dxa"/>
            <w:tcBorders>
              <w:top w:val="single" w:sz="4" w:space="0" w:color="auto"/>
              <w:left w:val="single" w:sz="4" w:space="0" w:color="auto"/>
              <w:bottom w:val="single" w:sz="4" w:space="0" w:color="auto"/>
              <w:right w:val="single" w:sz="4" w:space="0" w:color="auto"/>
            </w:tcBorders>
          </w:tcPr>
          <w:p w14:paraId="0648B26A"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2DF1502B"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1D9D5C49" w14:textId="77777777" w:rsidR="006A2D41" w:rsidRPr="006A2D41" w:rsidRDefault="006A2D41" w:rsidP="006A2D41">
            <w:pPr>
              <w:jc w:val="both"/>
            </w:pPr>
          </w:p>
        </w:tc>
      </w:tr>
      <w:tr w:rsidR="006A2D41" w:rsidRPr="006A2D41" w14:paraId="40B31878" w14:textId="77777777" w:rsidTr="006A2D41">
        <w:tc>
          <w:tcPr>
            <w:tcW w:w="2265" w:type="dxa"/>
            <w:tcBorders>
              <w:top w:val="single" w:sz="4" w:space="0" w:color="auto"/>
              <w:left w:val="single" w:sz="4" w:space="0" w:color="auto"/>
              <w:bottom w:val="single" w:sz="4" w:space="0" w:color="auto"/>
              <w:right w:val="single" w:sz="4" w:space="0" w:color="auto"/>
            </w:tcBorders>
            <w:hideMark/>
          </w:tcPr>
          <w:p w14:paraId="0AF80753" w14:textId="77777777" w:rsidR="006A2D41" w:rsidRPr="006A2D41" w:rsidRDefault="006A2D41" w:rsidP="006A2D41">
            <w:pPr>
              <w:jc w:val="both"/>
            </w:pPr>
            <w:r w:rsidRPr="006A2D41">
              <w:t>2020</w:t>
            </w:r>
          </w:p>
        </w:tc>
        <w:tc>
          <w:tcPr>
            <w:tcW w:w="2265" w:type="dxa"/>
            <w:tcBorders>
              <w:top w:val="single" w:sz="4" w:space="0" w:color="auto"/>
              <w:left w:val="single" w:sz="4" w:space="0" w:color="auto"/>
              <w:bottom w:val="single" w:sz="4" w:space="0" w:color="auto"/>
              <w:right w:val="single" w:sz="4" w:space="0" w:color="auto"/>
            </w:tcBorders>
          </w:tcPr>
          <w:p w14:paraId="683DA722"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2041B518" w14:textId="77777777" w:rsidR="006A2D41" w:rsidRPr="006A2D41" w:rsidRDefault="006A2D41" w:rsidP="006A2D41">
            <w:pPr>
              <w:jc w:val="both"/>
            </w:pPr>
          </w:p>
        </w:tc>
        <w:tc>
          <w:tcPr>
            <w:tcW w:w="2266" w:type="dxa"/>
            <w:tcBorders>
              <w:top w:val="single" w:sz="4" w:space="0" w:color="auto"/>
              <w:left w:val="single" w:sz="4" w:space="0" w:color="auto"/>
              <w:bottom w:val="single" w:sz="4" w:space="0" w:color="auto"/>
              <w:right w:val="single" w:sz="4" w:space="0" w:color="auto"/>
            </w:tcBorders>
          </w:tcPr>
          <w:p w14:paraId="13CD2938" w14:textId="77777777" w:rsidR="006A2D41" w:rsidRPr="006A2D41" w:rsidRDefault="006A2D41" w:rsidP="006A2D41">
            <w:pPr>
              <w:jc w:val="both"/>
            </w:pPr>
          </w:p>
        </w:tc>
      </w:tr>
      <w:tr w:rsidR="006A2D41" w:rsidRPr="006A2D41" w14:paraId="38DF8BC4" w14:textId="77777777" w:rsidTr="006A2D41">
        <w:tc>
          <w:tcPr>
            <w:tcW w:w="2265" w:type="dxa"/>
            <w:tcBorders>
              <w:top w:val="single" w:sz="4" w:space="0" w:color="auto"/>
              <w:left w:val="single" w:sz="4" w:space="0" w:color="auto"/>
              <w:bottom w:val="single" w:sz="4" w:space="0" w:color="auto"/>
              <w:right w:val="single" w:sz="4" w:space="0" w:color="auto"/>
            </w:tcBorders>
            <w:hideMark/>
          </w:tcPr>
          <w:p w14:paraId="31BE863E" w14:textId="77777777" w:rsidR="006A2D41" w:rsidRPr="006A2D41" w:rsidRDefault="006A2D41" w:rsidP="006A2D41">
            <w:pPr>
              <w:jc w:val="both"/>
              <w:rPr>
                <w:i/>
                <w:iCs/>
              </w:rPr>
            </w:pPr>
            <w:r w:rsidRPr="006A2D41">
              <w:rPr>
                <w:i/>
                <w:iCs/>
              </w:rPr>
              <w:t>2021 (estimation)</w:t>
            </w:r>
          </w:p>
        </w:tc>
        <w:tc>
          <w:tcPr>
            <w:tcW w:w="2265" w:type="dxa"/>
            <w:tcBorders>
              <w:top w:val="single" w:sz="4" w:space="0" w:color="auto"/>
              <w:left w:val="single" w:sz="4" w:space="0" w:color="auto"/>
              <w:bottom w:val="single" w:sz="4" w:space="0" w:color="auto"/>
              <w:right w:val="single" w:sz="4" w:space="0" w:color="auto"/>
            </w:tcBorders>
          </w:tcPr>
          <w:p w14:paraId="7530B969" w14:textId="77777777" w:rsidR="006A2D41" w:rsidRPr="006A2D41" w:rsidRDefault="006A2D41" w:rsidP="006A2D41">
            <w:pPr>
              <w:jc w:val="both"/>
              <w:rPr>
                <w:i/>
                <w:iCs/>
              </w:rPr>
            </w:pPr>
          </w:p>
        </w:tc>
        <w:tc>
          <w:tcPr>
            <w:tcW w:w="2266" w:type="dxa"/>
            <w:tcBorders>
              <w:top w:val="single" w:sz="4" w:space="0" w:color="auto"/>
              <w:left w:val="single" w:sz="4" w:space="0" w:color="auto"/>
              <w:bottom w:val="single" w:sz="4" w:space="0" w:color="auto"/>
              <w:right w:val="single" w:sz="4" w:space="0" w:color="auto"/>
            </w:tcBorders>
          </w:tcPr>
          <w:p w14:paraId="6945D685" w14:textId="77777777" w:rsidR="006A2D41" w:rsidRPr="006A2D41" w:rsidRDefault="006A2D41" w:rsidP="006A2D41">
            <w:pPr>
              <w:jc w:val="both"/>
              <w:rPr>
                <w:i/>
                <w:iCs/>
              </w:rPr>
            </w:pPr>
          </w:p>
        </w:tc>
        <w:tc>
          <w:tcPr>
            <w:tcW w:w="2266" w:type="dxa"/>
            <w:tcBorders>
              <w:top w:val="single" w:sz="4" w:space="0" w:color="auto"/>
              <w:left w:val="single" w:sz="4" w:space="0" w:color="auto"/>
              <w:bottom w:val="single" w:sz="4" w:space="0" w:color="auto"/>
              <w:right w:val="single" w:sz="4" w:space="0" w:color="auto"/>
            </w:tcBorders>
          </w:tcPr>
          <w:p w14:paraId="3743A361" w14:textId="77777777" w:rsidR="006A2D41" w:rsidRPr="006A2D41" w:rsidRDefault="006A2D41" w:rsidP="006A2D41">
            <w:pPr>
              <w:jc w:val="both"/>
              <w:rPr>
                <w:i/>
                <w:iCs/>
              </w:rPr>
            </w:pPr>
          </w:p>
        </w:tc>
      </w:tr>
      <w:tr w:rsidR="006A2D41" w:rsidRPr="006A2D41" w14:paraId="5F5D322B" w14:textId="77777777" w:rsidTr="006A2D41">
        <w:tc>
          <w:tcPr>
            <w:tcW w:w="2265" w:type="dxa"/>
            <w:tcBorders>
              <w:top w:val="single" w:sz="4" w:space="0" w:color="auto"/>
              <w:left w:val="single" w:sz="4" w:space="0" w:color="auto"/>
              <w:bottom w:val="single" w:sz="4" w:space="0" w:color="auto"/>
              <w:right w:val="single" w:sz="4" w:space="0" w:color="auto"/>
            </w:tcBorders>
            <w:hideMark/>
          </w:tcPr>
          <w:p w14:paraId="7301BBA3" w14:textId="77777777" w:rsidR="006A2D41" w:rsidRPr="006A2D41" w:rsidRDefault="006A2D41" w:rsidP="006A2D41">
            <w:pPr>
              <w:jc w:val="both"/>
              <w:rPr>
                <w:i/>
                <w:iCs/>
              </w:rPr>
            </w:pPr>
            <w:r w:rsidRPr="006A2D41">
              <w:rPr>
                <w:i/>
                <w:iCs/>
              </w:rPr>
              <w:t>2022 (estimation)</w:t>
            </w:r>
          </w:p>
        </w:tc>
        <w:tc>
          <w:tcPr>
            <w:tcW w:w="2265" w:type="dxa"/>
            <w:tcBorders>
              <w:top w:val="single" w:sz="4" w:space="0" w:color="auto"/>
              <w:left w:val="single" w:sz="4" w:space="0" w:color="auto"/>
              <w:bottom w:val="single" w:sz="4" w:space="0" w:color="auto"/>
              <w:right w:val="single" w:sz="4" w:space="0" w:color="auto"/>
            </w:tcBorders>
          </w:tcPr>
          <w:p w14:paraId="24884976" w14:textId="77777777" w:rsidR="006A2D41" w:rsidRPr="006A2D41" w:rsidRDefault="006A2D41" w:rsidP="006A2D41">
            <w:pPr>
              <w:jc w:val="both"/>
              <w:rPr>
                <w:i/>
                <w:iCs/>
              </w:rPr>
            </w:pPr>
          </w:p>
        </w:tc>
        <w:tc>
          <w:tcPr>
            <w:tcW w:w="2266" w:type="dxa"/>
            <w:tcBorders>
              <w:top w:val="single" w:sz="4" w:space="0" w:color="auto"/>
              <w:left w:val="single" w:sz="4" w:space="0" w:color="auto"/>
              <w:bottom w:val="single" w:sz="4" w:space="0" w:color="auto"/>
              <w:right w:val="single" w:sz="4" w:space="0" w:color="auto"/>
            </w:tcBorders>
          </w:tcPr>
          <w:p w14:paraId="1B77076A" w14:textId="77777777" w:rsidR="006A2D41" w:rsidRPr="006A2D41" w:rsidRDefault="006A2D41" w:rsidP="006A2D41">
            <w:pPr>
              <w:jc w:val="both"/>
              <w:rPr>
                <w:i/>
                <w:iCs/>
              </w:rPr>
            </w:pPr>
          </w:p>
        </w:tc>
        <w:tc>
          <w:tcPr>
            <w:tcW w:w="2266" w:type="dxa"/>
            <w:tcBorders>
              <w:top w:val="single" w:sz="4" w:space="0" w:color="auto"/>
              <w:left w:val="single" w:sz="4" w:space="0" w:color="auto"/>
              <w:bottom w:val="single" w:sz="4" w:space="0" w:color="auto"/>
              <w:right w:val="single" w:sz="4" w:space="0" w:color="auto"/>
            </w:tcBorders>
          </w:tcPr>
          <w:p w14:paraId="4064354A" w14:textId="77777777" w:rsidR="006A2D41" w:rsidRPr="006A2D41" w:rsidRDefault="006A2D41" w:rsidP="006A2D41">
            <w:pPr>
              <w:jc w:val="both"/>
              <w:rPr>
                <w:i/>
                <w:iCs/>
              </w:rPr>
            </w:pPr>
          </w:p>
        </w:tc>
      </w:tr>
      <w:tr w:rsidR="006A2D41" w:rsidRPr="006A2D41" w14:paraId="0E4A6AB7" w14:textId="77777777" w:rsidTr="006A2D41">
        <w:tc>
          <w:tcPr>
            <w:tcW w:w="2265" w:type="dxa"/>
            <w:tcBorders>
              <w:top w:val="single" w:sz="4" w:space="0" w:color="auto"/>
              <w:left w:val="single" w:sz="4" w:space="0" w:color="auto"/>
              <w:bottom w:val="single" w:sz="4" w:space="0" w:color="auto"/>
              <w:right w:val="single" w:sz="4" w:space="0" w:color="auto"/>
            </w:tcBorders>
            <w:hideMark/>
          </w:tcPr>
          <w:p w14:paraId="155A971B" w14:textId="77777777" w:rsidR="006A2D41" w:rsidRPr="006A2D41" w:rsidRDefault="006A2D41" w:rsidP="006A2D41">
            <w:pPr>
              <w:jc w:val="both"/>
              <w:rPr>
                <w:i/>
                <w:iCs/>
              </w:rPr>
            </w:pPr>
            <w:r w:rsidRPr="006A2D41">
              <w:rPr>
                <w:i/>
                <w:iCs/>
              </w:rPr>
              <w:t>2023 (estimation)</w:t>
            </w:r>
          </w:p>
        </w:tc>
        <w:tc>
          <w:tcPr>
            <w:tcW w:w="2265" w:type="dxa"/>
            <w:tcBorders>
              <w:top w:val="single" w:sz="4" w:space="0" w:color="auto"/>
              <w:left w:val="single" w:sz="4" w:space="0" w:color="auto"/>
              <w:bottom w:val="single" w:sz="4" w:space="0" w:color="auto"/>
              <w:right w:val="single" w:sz="4" w:space="0" w:color="auto"/>
            </w:tcBorders>
          </w:tcPr>
          <w:p w14:paraId="4F63A779" w14:textId="77777777" w:rsidR="006A2D41" w:rsidRPr="006A2D41" w:rsidRDefault="006A2D41" w:rsidP="006A2D41">
            <w:pPr>
              <w:jc w:val="both"/>
              <w:rPr>
                <w:i/>
                <w:iCs/>
              </w:rPr>
            </w:pPr>
          </w:p>
        </w:tc>
        <w:tc>
          <w:tcPr>
            <w:tcW w:w="2266" w:type="dxa"/>
            <w:tcBorders>
              <w:top w:val="single" w:sz="4" w:space="0" w:color="auto"/>
              <w:left w:val="single" w:sz="4" w:space="0" w:color="auto"/>
              <w:bottom w:val="single" w:sz="4" w:space="0" w:color="auto"/>
              <w:right w:val="single" w:sz="4" w:space="0" w:color="auto"/>
            </w:tcBorders>
          </w:tcPr>
          <w:p w14:paraId="3D1C9D6E" w14:textId="77777777" w:rsidR="006A2D41" w:rsidRPr="006A2D41" w:rsidRDefault="006A2D41" w:rsidP="006A2D41">
            <w:pPr>
              <w:jc w:val="both"/>
              <w:rPr>
                <w:i/>
                <w:iCs/>
              </w:rPr>
            </w:pPr>
          </w:p>
        </w:tc>
        <w:tc>
          <w:tcPr>
            <w:tcW w:w="2266" w:type="dxa"/>
            <w:tcBorders>
              <w:top w:val="single" w:sz="4" w:space="0" w:color="auto"/>
              <w:left w:val="single" w:sz="4" w:space="0" w:color="auto"/>
              <w:bottom w:val="single" w:sz="4" w:space="0" w:color="auto"/>
              <w:right w:val="single" w:sz="4" w:space="0" w:color="auto"/>
            </w:tcBorders>
          </w:tcPr>
          <w:p w14:paraId="0DD061F3" w14:textId="77777777" w:rsidR="006A2D41" w:rsidRPr="006A2D41" w:rsidRDefault="006A2D41" w:rsidP="006A2D41">
            <w:pPr>
              <w:jc w:val="both"/>
              <w:rPr>
                <w:i/>
                <w:iCs/>
              </w:rPr>
            </w:pPr>
          </w:p>
        </w:tc>
      </w:tr>
    </w:tbl>
    <w:p w14:paraId="57ECB43D" w14:textId="074C5709" w:rsidR="006A2D41" w:rsidRDefault="006A2D41" w:rsidP="006A2D41">
      <w:pPr>
        <w:spacing w:line="256" w:lineRule="auto"/>
        <w:rPr>
          <w:rFonts w:ascii="Calibri" w:eastAsia="Calibri" w:hAnsi="Calibri" w:cs="Times New Roman"/>
          <w:color w:val="4472C4" w:themeColor="accent1"/>
          <w:sz w:val="28"/>
          <w:szCs w:val="28"/>
          <w:u w:val="single"/>
        </w:rPr>
      </w:pPr>
      <w:bookmarkStart w:id="1" w:name="_Hlk69907771"/>
    </w:p>
    <w:p w14:paraId="16B3B383" w14:textId="4A04878E" w:rsidR="00C0295F" w:rsidRDefault="00C0295F" w:rsidP="006A2D41">
      <w:pPr>
        <w:spacing w:line="256" w:lineRule="auto"/>
        <w:rPr>
          <w:rFonts w:ascii="Calibri" w:eastAsia="Calibri" w:hAnsi="Calibri" w:cs="Times New Roman"/>
          <w:color w:val="4472C4" w:themeColor="accent1"/>
          <w:sz w:val="28"/>
          <w:szCs w:val="28"/>
          <w:u w:val="single"/>
        </w:rPr>
      </w:pPr>
      <w:r>
        <w:rPr>
          <w:rFonts w:ascii="Calibri" w:eastAsia="Calibri" w:hAnsi="Calibri" w:cs="Times New Roman"/>
        </w:rPr>
        <w:t>Les candidats devront détailler les informations financières au terme des années 2020, 2019 et 2018 et notamment la part de leurs fonds propres.</w:t>
      </w:r>
    </w:p>
    <w:p w14:paraId="4F6B35AC" w14:textId="77777777" w:rsidR="00C0295F" w:rsidRPr="006A2D41" w:rsidRDefault="00C0295F" w:rsidP="006A2D41">
      <w:pPr>
        <w:spacing w:line="256" w:lineRule="auto"/>
        <w:rPr>
          <w:rFonts w:ascii="Calibri" w:eastAsia="Calibri" w:hAnsi="Calibri" w:cs="Times New Roman"/>
          <w:color w:val="4472C4" w:themeColor="accent1"/>
          <w:sz w:val="28"/>
          <w:szCs w:val="28"/>
          <w:u w:val="single"/>
        </w:rPr>
      </w:pPr>
    </w:p>
    <w:p w14:paraId="2ECB661F" w14:textId="77777777" w:rsidR="006A2D41" w:rsidRPr="006A2D41" w:rsidRDefault="006A2D41" w:rsidP="006A2D41">
      <w:pPr>
        <w:numPr>
          <w:ilvl w:val="0"/>
          <w:numId w:val="1"/>
        </w:numPr>
        <w:spacing w:line="256" w:lineRule="auto"/>
        <w:contextualSpacing/>
        <w:jc w:val="both"/>
        <w:rPr>
          <w:rFonts w:ascii="Calibri" w:eastAsia="Calibri" w:hAnsi="Calibri" w:cs="Times New Roman"/>
          <w:color w:val="4472C4" w:themeColor="accent1"/>
          <w:sz w:val="28"/>
          <w:szCs w:val="28"/>
          <w:u w:val="single"/>
        </w:rPr>
      </w:pPr>
      <w:bookmarkStart w:id="2" w:name="_Hlk73456928"/>
      <w:r w:rsidRPr="006A2D41">
        <w:rPr>
          <w:rFonts w:ascii="Calibri" w:eastAsia="Calibri" w:hAnsi="Calibri" w:cs="Times New Roman"/>
          <w:color w:val="4472C4" w:themeColor="accent1"/>
          <w:sz w:val="28"/>
          <w:szCs w:val="28"/>
          <w:u w:val="single"/>
        </w:rPr>
        <w:t>Critères liés à la transition énergétique</w:t>
      </w:r>
    </w:p>
    <w:p w14:paraId="4C19848F" w14:textId="77777777" w:rsidR="006A2D41" w:rsidRPr="006A2D41" w:rsidRDefault="006A2D41" w:rsidP="006A2D41">
      <w:pPr>
        <w:spacing w:line="256" w:lineRule="auto"/>
        <w:ind w:left="720"/>
        <w:contextualSpacing/>
        <w:jc w:val="both"/>
        <w:rPr>
          <w:rFonts w:ascii="Calibri" w:eastAsia="Calibri" w:hAnsi="Calibri" w:cs="Times New Roman"/>
          <w:color w:val="4472C4" w:themeColor="accent1"/>
          <w:sz w:val="28"/>
          <w:szCs w:val="28"/>
          <w:u w:val="single"/>
        </w:rPr>
      </w:pPr>
    </w:p>
    <w:p w14:paraId="09FF3EDD"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r w:rsidRPr="006A2D41">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28D1FA5C" wp14:editId="24E766D7">
                <wp:simplePos x="0" y="0"/>
                <wp:positionH relativeFrom="margin">
                  <wp:align>left</wp:align>
                </wp:positionH>
                <wp:positionV relativeFrom="paragraph">
                  <wp:posOffset>12700</wp:posOffset>
                </wp:positionV>
                <wp:extent cx="5686425" cy="998220"/>
                <wp:effectExtent l="0" t="0" r="28575" b="11430"/>
                <wp:wrapNone/>
                <wp:docPr id="7" name="Rectangle : coins arrondis 7"/>
                <wp:cNvGraphicFramePr/>
                <a:graphic xmlns:a="http://schemas.openxmlformats.org/drawingml/2006/main">
                  <a:graphicData uri="http://schemas.microsoft.com/office/word/2010/wordprocessingShape">
                    <wps:wsp>
                      <wps:cNvSpPr/>
                      <wps:spPr>
                        <a:xfrm>
                          <a:off x="0" y="0"/>
                          <a:ext cx="5686425" cy="998220"/>
                        </a:xfrm>
                        <a:prstGeom prst="roundRect">
                          <a:avLst>
                            <a:gd name="adj" fmla="val 19760"/>
                          </a:avLst>
                        </a:prstGeom>
                        <a:solidFill>
                          <a:sysClr val="window" lastClr="FFFFFF"/>
                        </a:solidFill>
                        <a:ln w="12700" cap="flat" cmpd="sng" algn="ctr">
                          <a:solidFill>
                            <a:srgbClr val="ED7D31"/>
                          </a:solidFill>
                          <a:prstDash val="solid"/>
                          <a:miter lim="800000"/>
                        </a:ln>
                        <a:effectLst/>
                      </wps:spPr>
                      <wps:txbx>
                        <w:txbxContent>
                          <w:p w14:paraId="43E51481" w14:textId="714FB1BA" w:rsidR="006A2D41" w:rsidRPr="003265D9" w:rsidRDefault="006A2D41" w:rsidP="006A2D41">
                            <w:pPr>
                              <w:jc w:val="both"/>
                              <w:rPr>
                                <w:b/>
                                <w:bCs/>
                                <w:color w:val="FF0000"/>
                              </w:rPr>
                            </w:pPr>
                            <w:r>
                              <w:t>Pour la commune, le candidat GRD doit jouer un rôle actif de facilitateur de la transition énergétique, à travers l’intégration des énergies d’origine renouvelables dans les réseaux de distribution</w:t>
                            </w:r>
                            <w:r w:rsidR="003265D9" w:rsidRPr="003265D9">
                              <w:rPr>
                                <w:b/>
                                <w:bCs/>
                                <w:color w:val="FF0000"/>
                              </w:rPr>
                              <w:t xml:space="preserve">.  </w:t>
                            </w:r>
                            <w:r w:rsidR="003265D9" w:rsidRPr="005930FB">
                              <w:rPr>
                                <w:b/>
                                <w:bCs/>
                              </w:rPr>
                              <w:t>Il doit jouer un rôle de soutien de toute action dans ses compétences  permettant à la Ville de Spa d’atteindre la neutralité carbone à l’horizon 2050.</w:t>
                            </w:r>
                          </w:p>
                          <w:p w14:paraId="465075A0" w14:textId="77777777" w:rsidR="006A2D41" w:rsidRDefault="006A2D41" w:rsidP="006A2D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1FA5C" id="Rectangle : coins arrondis 7" o:spid="_x0000_s1026" style="position:absolute;left:0;text-align:left;margin-left:0;margin-top:1pt;width:447.75pt;height:7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2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" fillcolor="window" strokecolor="#ed7d31" strokeweight="1pt">
                <v:stroke joinstyle="miter"/>
                <v:textbox>
                  <w:txbxContent>
                    <w:p w14:paraId="43E51481" w14:textId="714FB1BA" w:rsidR="006A2D41" w:rsidRPr="003265D9" w:rsidRDefault="006A2D41" w:rsidP="006A2D41">
                      <w:pPr>
                        <w:jc w:val="both"/>
                        <w:rPr>
                          <w:b/>
                          <w:bCs/>
                          <w:color w:val="FF0000"/>
                        </w:rPr>
                      </w:pPr>
                      <w:r>
                        <w:t>Pour la commune, le candidat GRD doit jouer un rôle actif de facilitateur de la transition énergétique, à travers l’intégration des énergies d’origine renouvelables dans les réseaux de distribution</w:t>
                      </w:r>
                      <w:r w:rsidR="003265D9" w:rsidRPr="003265D9">
                        <w:rPr>
                          <w:b/>
                          <w:bCs/>
                          <w:color w:val="FF0000"/>
                        </w:rPr>
                        <w:t xml:space="preserve">.  </w:t>
                      </w:r>
                      <w:r w:rsidR="003265D9" w:rsidRPr="005930FB">
                        <w:rPr>
                          <w:b/>
                          <w:bCs/>
                        </w:rPr>
                        <w:t>Il doit jouer un rôle de soutien de toute action dans ses compétences  permettant à la Ville de Spa d’atteindre la neutralité carbone à l’horizon 2050.</w:t>
                      </w:r>
                    </w:p>
                    <w:p w14:paraId="465075A0" w14:textId="77777777" w:rsidR="006A2D41" w:rsidRDefault="006A2D41" w:rsidP="006A2D41"/>
                  </w:txbxContent>
                </v:textbox>
                <w10:wrap anchorx="margin"/>
              </v:roundrect>
            </w:pict>
          </mc:Fallback>
        </mc:AlternateContent>
      </w:r>
    </w:p>
    <w:p w14:paraId="201B60C1"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555B95FE"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35960EDC"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58C4E2BD"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143B5E2E" w14:textId="0BE74507" w:rsidR="006A2D41" w:rsidRDefault="006A2D41" w:rsidP="006A2D41">
      <w:pPr>
        <w:spacing w:line="256" w:lineRule="auto"/>
        <w:ind w:left="720"/>
        <w:contextualSpacing/>
        <w:jc w:val="both"/>
        <w:rPr>
          <w:rFonts w:ascii="Calibri" w:eastAsia="Calibri" w:hAnsi="Calibri" w:cs="Times New Roman"/>
          <w:b/>
          <w:bCs/>
          <w:color w:val="4472C4" w:themeColor="accent1"/>
          <w:u w:val="single"/>
        </w:rPr>
      </w:pPr>
      <w:bookmarkStart w:id="3" w:name="_Hlk69906770"/>
      <w:bookmarkEnd w:id="1"/>
    </w:p>
    <w:p w14:paraId="6EC27B4F" w14:textId="2D25276A" w:rsidR="005930FB" w:rsidRDefault="005930FB" w:rsidP="005930FB">
      <w:pPr>
        <w:spacing w:line="256" w:lineRule="auto"/>
        <w:contextualSpacing/>
        <w:jc w:val="both"/>
        <w:rPr>
          <w:rFonts w:ascii="Calibri" w:eastAsia="Calibri" w:hAnsi="Calibri" w:cs="Times New Roman"/>
          <w:b/>
          <w:bCs/>
          <w:color w:val="4472C4" w:themeColor="accent1"/>
          <w:u w:val="single"/>
        </w:rPr>
      </w:pPr>
    </w:p>
    <w:p w14:paraId="0565CA21" w14:textId="54453968" w:rsidR="005930FB" w:rsidRDefault="005930FB" w:rsidP="005930FB">
      <w:pPr>
        <w:spacing w:line="256" w:lineRule="auto"/>
        <w:contextualSpacing/>
        <w:jc w:val="both"/>
        <w:rPr>
          <w:rFonts w:ascii="Calibri" w:eastAsia="Calibri" w:hAnsi="Calibri" w:cs="Times New Roman"/>
          <w:b/>
          <w:bCs/>
          <w:color w:val="4472C4" w:themeColor="accent1"/>
          <w:u w:val="single"/>
        </w:rPr>
      </w:pPr>
      <w:r w:rsidRPr="006A2D41">
        <w:rPr>
          <w:rFonts w:ascii="Calibri" w:eastAsia="Calibri" w:hAnsi="Calibri" w:cs="Times New Roman"/>
        </w:rPr>
        <w:t xml:space="preserve">Les GRD </w:t>
      </w:r>
      <w:r>
        <w:rPr>
          <w:rFonts w:ascii="Calibri" w:eastAsia="Calibri" w:hAnsi="Calibri" w:cs="Times New Roman"/>
        </w:rPr>
        <w:t>expliqueront la stratégie envisagée dans le cadre de la transition énergétique.</w:t>
      </w:r>
    </w:p>
    <w:p w14:paraId="0A63AE5F" w14:textId="77777777" w:rsidR="005930FB" w:rsidRPr="006A2D41" w:rsidRDefault="005930FB" w:rsidP="006A2D41">
      <w:pPr>
        <w:spacing w:line="256" w:lineRule="auto"/>
        <w:ind w:left="720"/>
        <w:contextualSpacing/>
        <w:jc w:val="both"/>
        <w:rPr>
          <w:rFonts w:ascii="Calibri" w:eastAsia="Calibri" w:hAnsi="Calibri" w:cs="Times New Roman"/>
          <w:b/>
          <w:bCs/>
          <w:color w:val="4472C4" w:themeColor="accent1"/>
          <w:u w:val="single"/>
        </w:rPr>
      </w:pPr>
    </w:p>
    <w:p w14:paraId="4498C54E" w14:textId="69BD80C5" w:rsidR="006A2D41" w:rsidRDefault="006A2D41" w:rsidP="006A2D41">
      <w:pPr>
        <w:numPr>
          <w:ilvl w:val="1"/>
          <w:numId w:val="1"/>
        </w:numPr>
        <w:spacing w:line="256" w:lineRule="auto"/>
        <w:contextualSpacing/>
        <w:jc w:val="both"/>
        <w:rPr>
          <w:rFonts w:ascii="Calibri" w:eastAsia="Calibri" w:hAnsi="Calibri" w:cs="Times New Roman"/>
          <w:b/>
          <w:bCs/>
          <w:color w:val="4472C4" w:themeColor="accent1"/>
          <w:u w:val="single"/>
        </w:rPr>
      </w:pPr>
      <w:r w:rsidRPr="006A2D41">
        <w:rPr>
          <w:rFonts w:ascii="Calibri" w:eastAsia="Calibri" w:hAnsi="Calibri" w:cs="Times New Roman"/>
          <w:b/>
          <w:bCs/>
          <w:color w:val="4472C4" w:themeColor="accent1"/>
          <w:u w:val="single"/>
        </w:rPr>
        <w:t>Actions en matière de réseaux intelligents</w:t>
      </w:r>
    </w:p>
    <w:p w14:paraId="2601E613" w14:textId="77777777" w:rsidR="006A2D41" w:rsidRPr="006A2D41" w:rsidRDefault="006A2D41" w:rsidP="006A2D41">
      <w:pPr>
        <w:spacing w:line="256" w:lineRule="auto"/>
        <w:ind w:left="1800"/>
        <w:contextualSpacing/>
        <w:jc w:val="both"/>
        <w:rPr>
          <w:rFonts w:ascii="Calibri" w:eastAsia="Calibri" w:hAnsi="Calibri" w:cs="Times New Roman"/>
          <w:b/>
          <w:bCs/>
          <w:color w:val="4472C4" w:themeColor="accent1"/>
          <w:u w:val="single"/>
        </w:rPr>
      </w:pPr>
    </w:p>
    <w:p w14:paraId="016242FE" w14:textId="69CC7251" w:rsidR="0082196B" w:rsidRDefault="006A2D41" w:rsidP="006A2D41">
      <w:pPr>
        <w:spacing w:line="256" w:lineRule="auto"/>
        <w:jc w:val="both"/>
        <w:rPr>
          <w:rFonts w:ascii="Calibri" w:eastAsia="Calibri" w:hAnsi="Calibri" w:cs="Times New Roman"/>
        </w:rPr>
      </w:pPr>
      <w:r w:rsidRPr="006A2D41">
        <w:rPr>
          <w:rFonts w:ascii="Calibri" w:eastAsia="Calibri" w:hAnsi="Calibri" w:cs="Times New Roman"/>
        </w:rPr>
        <w:t xml:space="preserve">Les GRD doivent jouer </w:t>
      </w:r>
      <w:bookmarkEnd w:id="3"/>
      <w:r w:rsidRPr="006A2D41">
        <w:rPr>
          <w:rFonts w:ascii="Calibri" w:eastAsia="Calibri" w:hAnsi="Calibri" w:cs="Times New Roman"/>
        </w:rPr>
        <w:t xml:space="preserve">un rôle de facilitateur de la transition énergétique et prendre des actions pour </w:t>
      </w:r>
      <w:r w:rsidR="005930FB">
        <w:rPr>
          <w:rFonts w:ascii="Calibri" w:eastAsia="Calibri" w:hAnsi="Calibri" w:cs="Times New Roman"/>
        </w:rPr>
        <w:t xml:space="preserve">moderniser leur réseau et le </w:t>
      </w:r>
      <w:r w:rsidRPr="006A2D41">
        <w:rPr>
          <w:rFonts w:ascii="Calibri" w:eastAsia="Calibri" w:hAnsi="Calibri" w:cs="Times New Roman"/>
        </w:rPr>
        <w:t>rendre plus intelligent (« smart </w:t>
      </w:r>
      <w:proofErr w:type="spellStart"/>
      <w:r w:rsidR="00E44F01">
        <w:rPr>
          <w:rFonts w:ascii="Calibri" w:eastAsia="Calibri" w:hAnsi="Calibri" w:cs="Times New Roman"/>
        </w:rPr>
        <w:t>grid</w:t>
      </w:r>
      <w:proofErr w:type="spellEnd"/>
      <w:r w:rsidR="00E44F01">
        <w:rPr>
          <w:rFonts w:ascii="Calibri" w:eastAsia="Calibri" w:hAnsi="Calibri" w:cs="Times New Roman"/>
        </w:rPr>
        <w:t xml:space="preserve"> </w:t>
      </w:r>
      <w:r w:rsidRPr="006A2D41">
        <w:rPr>
          <w:rFonts w:ascii="Calibri" w:eastAsia="Calibri" w:hAnsi="Calibri" w:cs="Times New Roman"/>
        </w:rPr>
        <w:t>») en vue d’intégrer le plus d’énergies renouvelables possible</w:t>
      </w:r>
      <w:r w:rsidR="00E44F01">
        <w:rPr>
          <w:rFonts w:ascii="Calibri" w:eastAsia="Calibri" w:hAnsi="Calibri" w:cs="Times New Roman"/>
        </w:rPr>
        <w:t xml:space="preserve"> à la fois décentralisées géographiquement et à la fois concentrées sur le jour et l’été comme les panneaux photovoltaïques et les éoliennes.</w:t>
      </w:r>
    </w:p>
    <w:p w14:paraId="634A8F0D" w14:textId="7DEA6CF6" w:rsidR="0082196B" w:rsidRPr="006A2D41" w:rsidRDefault="0082196B" w:rsidP="006A2D41">
      <w:pPr>
        <w:spacing w:line="256" w:lineRule="auto"/>
        <w:jc w:val="both"/>
        <w:rPr>
          <w:rFonts w:ascii="Calibri" w:eastAsia="Calibri" w:hAnsi="Calibri" w:cs="Times New Roman"/>
        </w:rPr>
      </w:pPr>
      <w:r>
        <w:rPr>
          <w:rFonts w:ascii="Calibri" w:eastAsia="Calibri" w:hAnsi="Calibri" w:cs="Times New Roman"/>
        </w:rPr>
        <w:t>Comment ainsi gérer rationnellement les pointes de production d’électricité verte sur les réseaux basse-tension et moyenne tension ?</w:t>
      </w:r>
    </w:p>
    <w:p w14:paraId="76EEB13E" w14:textId="0294D40A" w:rsidR="0082196B" w:rsidRDefault="006A2D41" w:rsidP="006A2D41">
      <w:pPr>
        <w:spacing w:line="256" w:lineRule="auto"/>
        <w:jc w:val="both"/>
        <w:rPr>
          <w:rFonts w:ascii="Calibri" w:eastAsia="Calibri" w:hAnsi="Calibri" w:cs="Times New Roman"/>
        </w:rPr>
      </w:pPr>
      <w:r w:rsidRPr="006A2D41">
        <w:rPr>
          <w:rFonts w:ascii="Calibri" w:eastAsia="Calibri" w:hAnsi="Calibri" w:cs="Times New Roman"/>
        </w:rPr>
        <w:t>Veuillez décrire brièvement les initiatives concrètes prises à ce jour par votre GRD au niveau des nouvelles méthodes de gestion des infrastructures. Quelles sont les autres actions que vous envisagez à l’avenir, en particulier sur le territoire de notre commune</w:t>
      </w:r>
      <w:r w:rsidR="003265D9">
        <w:rPr>
          <w:rFonts w:ascii="Calibri" w:eastAsia="Calibri" w:hAnsi="Calibri" w:cs="Times New Roman"/>
        </w:rPr>
        <w:t> ?</w:t>
      </w:r>
      <w:r w:rsidR="00787DEB">
        <w:rPr>
          <w:rFonts w:ascii="Calibri" w:eastAsia="Calibri" w:hAnsi="Calibri" w:cs="Times New Roman"/>
        </w:rPr>
        <w:t xml:space="preserve"> </w:t>
      </w:r>
    </w:p>
    <w:p w14:paraId="229734A3" w14:textId="3473DAE9" w:rsidR="00787DEB" w:rsidRPr="00787DEB" w:rsidRDefault="00787DEB" w:rsidP="006A2D41">
      <w:pPr>
        <w:spacing w:line="256" w:lineRule="auto"/>
        <w:jc w:val="both"/>
        <w:rPr>
          <w:rFonts w:eastAsia="Calibri" w:cstheme="minorHAnsi"/>
        </w:rPr>
      </w:pPr>
      <w:r>
        <w:rPr>
          <w:rFonts w:ascii="Calibri" w:eastAsia="Calibri" w:hAnsi="Calibri" w:cs="Times New Roman"/>
        </w:rPr>
        <w:t xml:space="preserve">Décrivez vos initiatives en matière de </w:t>
      </w:r>
      <w:r w:rsidRPr="00787DEB">
        <w:rPr>
          <w:rFonts w:eastAsia="Times New Roman" w:cstheme="minorHAnsi"/>
          <w:color w:val="000000"/>
          <w:lang w:eastAsia="fr-BE"/>
        </w:rPr>
        <w:t xml:space="preserve">digitalisation de la conduite du réseau, </w:t>
      </w:r>
      <w:r>
        <w:rPr>
          <w:rFonts w:eastAsia="Times New Roman" w:cstheme="minorHAnsi"/>
          <w:color w:val="000000"/>
          <w:lang w:eastAsia="fr-BE"/>
        </w:rPr>
        <w:t>d</w:t>
      </w:r>
      <w:r w:rsidRPr="00787DEB">
        <w:rPr>
          <w:rFonts w:eastAsia="Times New Roman" w:cstheme="minorHAnsi"/>
          <w:color w:val="000000"/>
          <w:lang w:eastAsia="fr-BE"/>
        </w:rPr>
        <w:t>e développement de nouveaux services</w:t>
      </w:r>
      <w:r>
        <w:rPr>
          <w:rFonts w:eastAsia="Times New Roman" w:cstheme="minorHAnsi"/>
          <w:color w:val="000000"/>
          <w:lang w:eastAsia="fr-BE"/>
        </w:rPr>
        <w:t xml:space="preserve"> et de</w:t>
      </w:r>
      <w:r w:rsidRPr="00787DEB">
        <w:rPr>
          <w:rFonts w:eastAsia="Times New Roman" w:cstheme="minorHAnsi"/>
          <w:color w:val="000000"/>
          <w:lang w:eastAsia="fr-BE"/>
        </w:rPr>
        <w:t xml:space="preserve"> nouveaux équipements (stations/sous-stations de stockage, écrêtage des pointes de productions et consommations), dans le but de soutenir la transition énergétique et de permettre aux utilisateurs du réseau de distribution d’y participer activement.</w:t>
      </w:r>
    </w:p>
    <w:p w14:paraId="1C1A7F5F" w14:textId="01109143" w:rsidR="003265D9" w:rsidRDefault="00787DEB" w:rsidP="006A2D41">
      <w:pPr>
        <w:spacing w:line="256" w:lineRule="auto"/>
        <w:jc w:val="both"/>
        <w:rPr>
          <w:rFonts w:ascii="Calibri" w:eastAsia="Calibri" w:hAnsi="Calibri" w:cs="Times New Roman"/>
        </w:rPr>
      </w:pPr>
      <w:r w:rsidRPr="00787DEB">
        <w:rPr>
          <w:rFonts w:ascii="Calibri" w:eastAsia="Calibri" w:hAnsi="Calibri" w:cs="Times New Roman"/>
        </w:rPr>
        <w:lastRenderedPageBreak/>
        <w:t>Plus précisément, q</w:t>
      </w:r>
      <w:r w:rsidR="003265D9" w:rsidRPr="00787DEB">
        <w:rPr>
          <w:rFonts w:ascii="Calibri" w:eastAsia="Calibri" w:hAnsi="Calibri" w:cs="Times New Roman"/>
        </w:rPr>
        <w:t>uelles actions envisagez-vous pour permettre aux utilisateurs de mieux synchroniser production et consommation locales ?</w:t>
      </w:r>
      <w:r w:rsidR="009D2E11" w:rsidRPr="00787DEB">
        <w:rPr>
          <w:rFonts w:ascii="Calibri" w:eastAsia="Calibri" w:hAnsi="Calibri" w:cs="Times New Roman"/>
        </w:rPr>
        <w:t xml:space="preserve"> Comment inciter les utilisateurs à consommer moins (éclairage, électroménager…) ?</w:t>
      </w:r>
    </w:p>
    <w:p w14:paraId="73A15815" w14:textId="56ECBD22" w:rsidR="00D55ED6" w:rsidRPr="00787DEB" w:rsidRDefault="00D55ED6" w:rsidP="006A2D41">
      <w:pPr>
        <w:spacing w:line="256" w:lineRule="auto"/>
        <w:jc w:val="both"/>
        <w:rPr>
          <w:rFonts w:ascii="Calibri" w:eastAsia="Calibri" w:hAnsi="Calibri" w:cs="Times New Roman"/>
        </w:rPr>
      </w:pPr>
      <w:r>
        <w:rPr>
          <w:rFonts w:ascii="Calibri" w:eastAsia="Calibri" w:hAnsi="Calibri" w:cs="Times New Roman"/>
        </w:rPr>
        <w:t xml:space="preserve">Dans quelle mesure, évoluez-vous vers un système de relevé automatique et de compteurs </w:t>
      </w:r>
      <w:proofErr w:type="spellStart"/>
      <w:r>
        <w:rPr>
          <w:rFonts w:ascii="Calibri" w:eastAsia="Calibri" w:hAnsi="Calibri" w:cs="Times New Roman"/>
        </w:rPr>
        <w:t>communiquants</w:t>
      </w:r>
      <w:proofErr w:type="spellEnd"/>
      <w:r>
        <w:rPr>
          <w:rFonts w:ascii="Calibri" w:eastAsia="Calibri" w:hAnsi="Calibri" w:cs="Times New Roman"/>
        </w:rPr>
        <w:t xml:space="preserve"> ? </w:t>
      </w:r>
    </w:p>
    <w:p w14:paraId="17A96A73" w14:textId="77777777" w:rsidR="006A2D41" w:rsidRPr="006A2D41" w:rsidRDefault="006A2D41" w:rsidP="006A2D41">
      <w:pPr>
        <w:spacing w:line="256" w:lineRule="auto"/>
        <w:jc w:val="both"/>
        <w:rPr>
          <w:rFonts w:ascii="Calibri" w:eastAsia="Calibri" w:hAnsi="Calibri" w:cs="Times New Roman"/>
          <w:b/>
          <w:bCs/>
          <w:color w:val="4472C4" w:themeColor="accent1"/>
          <w:u w:val="single"/>
        </w:rPr>
      </w:pPr>
    </w:p>
    <w:p w14:paraId="693CCFF0" w14:textId="76829016" w:rsidR="006A2D41" w:rsidRDefault="006A2D41" w:rsidP="006A2D41">
      <w:pPr>
        <w:numPr>
          <w:ilvl w:val="1"/>
          <w:numId w:val="1"/>
        </w:numPr>
        <w:spacing w:line="256" w:lineRule="auto"/>
        <w:contextualSpacing/>
        <w:jc w:val="both"/>
        <w:rPr>
          <w:rFonts w:ascii="Calibri" w:eastAsia="Calibri" w:hAnsi="Calibri" w:cs="Times New Roman"/>
          <w:b/>
          <w:bCs/>
          <w:color w:val="4472C4" w:themeColor="accent1"/>
          <w:u w:val="single"/>
        </w:rPr>
      </w:pPr>
      <w:r w:rsidRPr="006A2D41">
        <w:rPr>
          <w:rFonts w:ascii="Calibri" w:eastAsia="Calibri" w:hAnsi="Calibri" w:cs="Times New Roman"/>
          <w:b/>
          <w:bCs/>
          <w:color w:val="4472C4" w:themeColor="accent1"/>
          <w:u w:val="single"/>
        </w:rPr>
        <w:t xml:space="preserve">Facilitation des communautés </w:t>
      </w:r>
      <w:r w:rsidR="00C73A23">
        <w:rPr>
          <w:rFonts w:ascii="Calibri" w:eastAsia="Calibri" w:hAnsi="Calibri" w:cs="Times New Roman"/>
          <w:b/>
          <w:bCs/>
          <w:color w:val="4472C4" w:themeColor="accent1"/>
          <w:u w:val="single"/>
        </w:rPr>
        <w:t xml:space="preserve">locales </w:t>
      </w:r>
      <w:r w:rsidRPr="006A2D41">
        <w:rPr>
          <w:rFonts w:ascii="Calibri" w:eastAsia="Calibri" w:hAnsi="Calibri" w:cs="Times New Roman"/>
          <w:b/>
          <w:bCs/>
          <w:color w:val="4472C4" w:themeColor="accent1"/>
          <w:u w:val="single"/>
        </w:rPr>
        <w:t>d’énergie renouvelable</w:t>
      </w:r>
    </w:p>
    <w:p w14:paraId="22C52727" w14:textId="77777777" w:rsidR="006A2D41" w:rsidRPr="006A2D41" w:rsidRDefault="006A2D41" w:rsidP="006A2D41">
      <w:pPr>
        <w:spacing w:line="256" w:lineRule="auto"/>
        <w:ind w:left="1800"/>
        <w:contextualSpacing/>
        <w:jc w:val="both"/>
        <w:rPr>
          <w:rFonts w:ascii="Calibri" w:eastAsia="Calibri" w:hAnsi="Calibri" w:cs="Times New Roman"/>
          <w:b/>
          <w:bCs/>
          <w:color w:val="4472C4" w:themeColor="accent1"/>
          <w:u w:val="single"/>
        </w:rPr>
      </w:pPr>
    </w:p>
    <w:p w14:paraId="5D021B8D" w14:textId="7955809A"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 xml:space="preserve">La Région wallonne a instauré un cadre législatif pour les communautés </w:t>
      </w:r>
      <w:r w:rsidR="00C73A23">
        <w:rPr>
          <w:rFonts w:ascii="Calibri" w:eastAsia="Calibri" w:hAnsi="Calibri" w:cs="Times New Roman"/>
        </w:rPr>
        <w:t xml:space="preserve">locales </w:t>
      </w:r>
      <w:r w:rsidRPr="006A2D41">
        <w:rPr>
          <w:rFonts w:ascii="Calibri" w:eastAsia="Calibri" w:hAnsi="Calibri" w:cs="Times New Roman"/>
        </w:rPr>
        <w:t>d’énergies renouvelables et elle s’apprête à instaurer un cadre législatif pour les communautés d’énergie citoyenne. Il s’agit de promouvoir une forme d’économie circulaire dans le domaine énergétique.</w:t>
      </w:r>
    </w:p>
    <w:p w14:paraId="34E7E99C" w14:textId="77777777" w:rsidR="006A2D41" w:rsidRPr="006A2D41" w:rsidRDefault="006A2D41" w:rsidP="006A2D41">
      <w:pPr>
        <w:spacing w:line="256" w:lineRule="auto"/>
        <w:jc w:val="both"/>
        <w:rPr>
          <w:rFonts w:ascii="Calibri" w:eastAsia="Calibri" w:hAnsi="Calibri" w:cs="Times New Roman"/>
        </w:rPr>
      </w:pPr>
      <w:bookmarkStart w:id="4" w:name="_Hlk69907247"/>
      <w:r w:rsidRPr="006A2D41">
        <w:rPr>
          <w:rFonts w:ascii="Calibri" w:eastAsia="Calibri" w:hAnsi="Calibri" w:cs="Times New Roman"/>
        </w:rPr>
        <w:t>Décrivez brièvement les initiatives prises par votre GRD en la matière.</w:t>
      </w:r>
    </w:p>
    <w:bookmarkEnd w:id="4"/>
    <w:p w14:paraId="3FF9C30A"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6BBC2767" w14:textId="1404E8D6" w:rsidR="006A2D41" w:rsidRDefault="00C73A23" w:rsidP="006A2D41">
      <w:pPr>
        <w:numPr>
          <w:ilvl w:val="1"/>
          <w:numId w:val="1"/>
        </w:numPr>
        <w:spacing w:line="256" w:lineRule="auto"/>
        <w:contextualSpacing/>
        <w:jc w:val="both"/>
        <w:rPr>
          <w:rFonts w:ascii="Calibri" w:eastAsia="Calibri" w:hAnsi="Calibri" w:cs="Times New Roman"/>
          <w:b/>
          <w:bCs/>
          <w:color w:val="4472C4" w:themeColor="accent1"/>
          <w:u w:val="single"/>
        </w:rPr>
      </w:pPr>
      <w:r>
        <w:rPr>
          <w:rFonts w:ascii="Calibri" w:eastAsia="Calibri" w:hAnsi="Calibri" w:cs="Times New Roman"/>
          <w:b/>
          <w:bCs/>
          <w:color w:val="4472C4" w:themeColor="accent1"/>
          <w:u w:val="single"/>
        </w:rPr>
        <w:t>Plan de modernisation de l’</w:t>
      </w:r>
      <w:r w:rsidR="006A2D41" w:rsidRPr="006A2D41">
        <w:rPr>
          <w:rFonts w:ascii="Calibri" w:eastAsia="Calibri" w:hAnsi="Calibri" w:cs="Times New Roman"/>
          <w:b/>
          <w:bCs/>
          <w:color w:val="4472C4" w:themeColor="accent1"/>
          <w:u w:val="single"/>
        </w:rPr>
        <w:t>éclairage public</w:t>
      </w:r>
    </w:p>
    <w:p w14:paraId="252BE8D7" w14:textId="77777777" w:rsidR="006A2D41" w:rsidRPr="006A2D41" w:rsidRDefault="006A2D41" w:rsidP="006A2D41">
      <w:pPr>
        <w:spacing w:line="256" w:lineRule="auto"/>
        <w:ind w:left="1800"/>
        <w:contextualSpacing/>
        <w:jc w:val="both"/>
        <w:rPr>
          <w:rFonts w:ascii="Calibri" w:eastAsia="Calibri" w:hAnsi="Calibri" w:cs="Times New Roman"/>
          <w:b/>
          <w:bCs/>
          <w:color w:val="4472C4" w:themeColor="accent1"/>
          <w:u w:val="single"/>
        </w:rPr>
      </w:pPr>
    </w:p>
    <w:p w14:paraId="2C409347" w14:textId="4BB7E3E6"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Notre commune donne la priorité aux économies d’énergies au niveau de l’éclairage public. L’introduction de nouvelles technologies telles que l’éclairage « LED »</w:t>
      </w:r>
      <w:r w:rsidR="00D6139E">
        <w:rPr>
          <w:rFonts w:ascii="Calibri" w:eastAsia="Calibri" w:hAnsi="Calibri" w:cs="Times New Roman"/>
        </w:rPr>
        <w:t xml:space="preserve">, </w:t>
      </w:r>
      <w:r w:rsidRPr="006A2D41">
        <w:rPr>
          <w:rFonts w:ascii="Calibri" w:eastAsia="Calibri" w:hAnsi="Calibri" w:cs="Times New Roman"/>
        </w:rPr>
        <w:t xml:space="preserve">le « </w:t>
      </w:r>
      <w:proofErr w:type="spellStart"/>
      <w:r w:rsidRPr="006A2D41">
        <w:rPr>
          <w:rFonts w:ascii="Calibri" w:eastAsia="Calibri" w:hAnsi="Calibri" w:cs="Times New Roman"/>
        </w:rPr>
        <w:t>Dimming</w:t>
      </w:r>
      <w:proofErr w:type="spellEnd"/>
      <w:r w:rsidRPr="006A2D41">
        <w:rPr>
          <w:rFonts w:ascii="Calibri" w:eastAsia="Calibri" w:hAnsi="Calibri" w:cs="Times New Roman"/>
        </w:rPr>
        <w:t xml:space="preserve"> » </w:t>
      </w:r>
      <w:r w:rsidR="00D6139E">
        <w:rPr>
          <w:rFonts w:ascii="Calibri" w:eastAsia="Calibri" w:hAnsi="Calibri" w:cs="Times New Roman"/>
        </w:rPr>
        <w:t xml:space="preserve">et l’éclairage intelligent </w:t>
      </w:r>
      <w:r w:rsidRPr="006A2D41">
        <w:rPr>
          <w:rFonts w:ascii="Calibri" w:eastAsia="Calibri" w:hAnsi="Calibri" w:cs="Times New Roman"/>
        </w:rPr>
        <w:t>est apprécié</w:t>
      </w:r>
      <w:r w:rsidR="00021093">
        <w:rPr>
          <w:rFonts w:ascii="Calibri" w:eastAsia="Calibri" w:hAnsi="Calibri" w:cs="Times New Roman"/>
        </w:rPr>
        <w:t>e</w:t>
      </w:r>
      <w:r w:rsidRPr="006A2D41">
        <w:rPr>
          <w:rFonts w:ascii="Calibri" w:eastAsia="Calibri" w:hAnsi="Calibri" w:cs="Times New Roman"/>
        </w:rPr>
        <w:t>.</w:t>
      </w:r>
    </w:p>
    <w:p w14:paraId="445EE42F" w14:textId="780D9A2E" w:rsid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 xml:space="preserve">Veuillez compléter le tableau ci-dessous et décrivez brièvement les actions existantes de votre GRD en matière de </w:t>
      </w:r>
      <w:proofErr w:type="spellStart"/>
      <w:r w:rsidRPr="006A2D41">
        <w:rPr>
          <w:rFonts w:ascii="Calibri" w:eastAsia="Calibri" w:hAnsi="Calibri" w:cs="Times New Roman"/>
        </w:rPr>
        <w:t>dimming</w:t>
      </w:r>
      <w:proofErr w:type="spellEnd"/>
      <w:r w:rsidRPr="006A2D41">
        <w:rPr>
          <w:rFonts w:ascii="Calibri" w:eastAsia="Calibri" w:hAnsi="Calibri" w:cs="Times New Roman"/>
        </w:rPr>
        <w:t>, en particulier sur notre commune.</w:t>
      </w:r>
    </w:p>
    <w:p w14:paraId="3898CD78" w14:textId="77777777" w:rsidR="006A2D41" w:rsidRPr="006A2D41" w:rsidRDefault="006A2D41" w:rsidP="006A2D41">
      <w:pPr>
        <w:spacing w:line="256" w:lineRule="auto"/>
        <w:jc w:val="both"/>
        <w:rPr>
          <w:rFonts w:ascii="Calibri" w:eastAsia="Calibri" w:hAnsi="Calibri" w:cs="Times New Roman"/>
        </w:rPr>
      </w:pPr>
    </w:p>
    <w:tbl>
      <w:tblPr>
        <w:tblStyle w:val="Grilledutableau"/>
        <w:tblW w:w="0" w:type="auto"/>
        <w:tblInd w:w="0" w:type="dxa"/>
        <w:tblLook w:val="04A0" w:firstRow="1" w:lastRow="0" w:firstColumn="1" w:lastColumn="0" w:noHBand="0" w:noVBand="1"/>
      </w:tblPr>
      <w:tblGrid>
        <w:gridCol w:w="2122"/>
        <w:gridCol w:w="3919"/>
        <w:gridCol w:w="3021"/>
      </w:tblGrid>
      <w:tr w:rsidR="006A2D41" w:rsidRPr="006A2D41" w14:paraId="70887B23" w14:textId="77777777" w:rsidTr="006A2D41">
        <w:tc>
          <w:tcPr>
            <w:tcW w:w="2122" w:type="dxa"/>
            <w:tcBorders>
              <w:top w:val="single" w:sz="4" w:space="0" w:color="auto"/>
              <w:left w:val="single" w:sz="4" w:space="0" w:color="auto"/>
              <w:bottom w:val="single" w:sz="4" w:space="0" w:color="auto"/>
              <w:right w:val="single" w:sz="4" w:space="0" w:color="auto"/>
            </w:tcBorders>
          </w:tcPr>
          <w:p w14:paraId="4462618C" w14:textId="77777777" w:rsidR="006A2D41" w:rsidRPr="006A2D41" w:rsidRDefault="006A2D41" w:rsidP="006A2D41">
            <w:pPr>
              <w:jc w:val="both"/>
            </w:pPr>
          </w:p>
        </w:tc>
        <w:tc>
          <w:tcPr>
            <w:tcW w:w="3919" w:type="dxa"/>
            <w:tcBorders>
              <w:top w:val="single" w:sz="4" w:space="0" w:color="auto"/>
              <w:left w:val="single" w:sz="4" w:space="0" w:color="auto"/>
              <w:bottom w:val="single" w:sz="4" w:space="0" w:color="auto"/>
              <w:right w:val="single" w:sz="4" w:space="0" w:color="auto"/>
            </w:tcBorders>
            <w:hideMark/>
          </w:tcPr>
          <w:p w14:paraId="0D4518BF" w14:textId="77777777" w:rsidR="006A2D41" w:rsidRPr="006A2D41" w:rsidRDefault="006A2D41" w:rsidP="00581F28">
            <w:pPr>
              <w:jc w:val="center"/>
            </w:pPr>
            <w:r w:rsidRPr="006A2D41">
              <w:t xml:space="preserve">Nombre total de points lumineux à remplacer par des </w:t>
            </w:r>
            <w:proofErr w:type="spellStart"/>
            <w:r w:rsidRPr="006A2D41">
              <w:t>led</w:t>
            </w:r>
            <w:proofErr w:type="spellEnd"/>
          </w:p>
        </w:tc>
        <w:tc>
          <w:tcPr>
            <w:tcW w:w="3021" w:type="dxa"/>
            <w:tcBorders>
              <w:top w:val="single" w:sz="4" w:space="0" w:color="auto"/>
              <w:left w:val="single" w:sz="4" w:space="0" w:color="auto"/>
              <w:bottom w:val="single" w:sz="4" w:space="0" w:color="auto"/>
              <w:right w:val="single" w:sz="4" w:space="0" w:color="auto"/>
            </w:tcBorders>
            <w:hideMark/>
          </w:tcPr>
          <w:p w14:paraId="2ED3058B" w14:textId="77777777" w:rsidR="006A2D41" w:rsidRPr="006A2D41" w:rsidRDefault="006A2D41" w:rsidP="00581F28">
            <w:pPr>
              <w:jc w:val="center"/>
            </w:pPr>
            <w:r w:rsidRPr="006A2D41">
              <w:t xml:space="preserve">Pourcentage de points lumineux remplacés par des </w:t>
            </w:r>
            <w:proofErr w:type="spellStart"/>
            <w:r w:rsidRPr="006A2D41">
              <w:t>led</w:t>
            </w:r>
            <w:proofErr w:type="spellEnd"/>
          </w:p>
        </w:tc>
      </w:tr>
      <w:tr w:rsidR="006A2D41" w:rsidRPr="006A2D41" w14:paraId="7A1D9506" w14:textId="77777777" w:rsidTr="006A2D41">
        <w:tc>
          <w:tcPr>
            <w:tcW w:w="2122" w:type="dxa"/>
            <w:tcBorders>
              <w:top w:val="single" w:sz="4" w:space="0" w:color="auto"/>
              <w:left w:val="single" w:sz="4" w:space="0" w:color="auto"/>
              <w:bottom w:val="single" w:sz="4" w:space="0" w:color="auto"/>
              <w:right w:val="single" w:sz="4" w:space="0" w:color="auto"/>
            </w:tcBorders>
            <w:hideMark/>
          </w:tcPr>
          <w:p w14:paraId="3EE8DF28" w14:textId="77777777" w:rsidR="006A2D41" w:rsidRPr="006A2D41" w:rsidRDefault="006A2D41" w:rsidP="006A2D41">
            <w:pPr>
              <w:jc w:val="both"/>
            </w:pPr>
            <w:r w:rsidRPr="006A2D41">
              <w:t>2020</w:t>
            </w:r>
          </w:p>
        </w:tc>
        <w:tc>
          <w:tcPr>
            <w:tcW w:w="3919" w:type="dxa"/>
            <w:tcBorders>
              <w:top w:val="single" w:sz="4" w:space="0" w:color="auto"/>
              <w:left w:val="single" w:sz="4" w:space="0" w:color="auto"/>
              <w:bottom w:val="single" w:sz="4" w:space="0" w:color="auto"/>
              <w:right w:val="single" w:sz="4" w:space="0" w:color="auto"/>
            </w:tcBorders>
          </w:tcPr>
          <w:p w14:paraId="06C5DBAC" w14:textId="77777777" w:rsidR="006A2D41" w:rsidRPr="006A2D41" w:rsidRDefault="006A2D41" w:rsidP="006A2D41">
            <w:pPr>
              <w:jc w:val="both"/>
            </w:pPr>
          </w:p>
        </w:tc>
        <w:tc>
          <w:tcPr>
            <w:tcW w:w="3021" w:type="dxa"/>
            <w:tcBorders>
              <w:top w:val="single" w:sz="4" w:space="0" w:color="auto"/>
              <w:left w:val="single" w:sz="4" w:space="0" w:color="auto"/>
              <w:bottom w:val="single" w:sz="4" w:space="0" w:color="auto"/>
              <w:right w:val="single" w:sz="4" w:space="0" w:color="auto"/>
            </w:tcBorders>
          </w:tcPr>
          <w:p w14:paraId="6F891CAA" w14:textId="77777777" w:rsidR="006A2D41" w:rsidRPr="006A2D41" w:rsidRDefault="006A2D41" w:rsidP="006A2D41">
            <w:pPr>
              <w:jc w:val="both"/>
            </w:pPr>
          </w:p>
        </w:tc>
      </w:tr>
      <w:tr w:rsidR="006A2D41" w:rsidRPr="006A2D41" w14:paraId="21A35F3D" w14:textId="77777777" w:rsidTr="006A2D41">
        <w:tc>
          <w:tcPr>
            <w:tcW w:w="2122" w:type="dxa"/>
            <w:tcBorders>
              <w:top w:val="single" w:sz="4" w:space="0" w:color="auto"/>
              <w:left w:val="single" w:sz="4" w:space="0" w:color="auto"/>
              <w:bottom w:val="single" w:sz="4" w:space="0" w:color="auto"/>
              <w:right w:val="single" w:sz="4" w:space="0" w:color="auto"/>
            </w:tcBorders>
            <w:hideMark/>
          </w:tcPr>
          <w:p w14:paraId="5BEAFD57" w14:textId="77777777" w:rsidR="006A2D41" w:rsidRPr="006A2D41" w:rsidRDefault="006A2D41" w:rsidP="006A2D41">
            <w:pPr>
              <w:jc w:val="both"/>
            </w:pPr>
            <w:r w:rsidRPr="006A2D41">
              <w:t>2021 (estimation)</w:t>
            </w:r>
          </w:p>
        </w:tc>
        <w:tc>
          <w:tcPr>
            <w:tcW w:w="3919" w:type="dxa"/>
            <w:tcBorders>
              <w:top w:val="single" w:sz="4" w:space="0" w:color="auto"/>
              <w:left w:val="single" w:sz="4" w:space="0" w:color="auto"/>
              <w:bottom w:val="single" w:sz="4" w:space="0" w:color="auto"/>
              <w:right w:val="single" w:sz="4" w:space="0" w:color="auto"/>
            </w:tcBorders>
          </w:tcPr>
          <w:p w14:paraId="6105DDAD" w14:textId="77777777" w:rsidR="006A2D41" w:rsidRPr="006A2D41" w:rsidRDefault="006A2D41" w:rsidP="006A2D41">
            <w:pPr>
              <w:jc w:val="both"/>
            </w:pPr>
          </w:p>
        </w:tc>
        <w:tc>
          <w:tcPr>
            <w:tcW w:w="3021" w:type="dxa"/>
            <w:tcBorders>
              <w:top w:val="single" w:sz="4" w:space="0" w:color="auto"/>
              <w:left w:val="single" w:sz="4" w:space="0" w:color="auto"/>
              <w:bottom w:val="single" w:sz="4" w:space="0" w:color="auto"/>
              <w:right w:val="single" w:sz="4" w:space="0" w:color="auto"/>
            </w:tcBorders>
          </w:tcPr>
          <w:p w14:paraId="39162557" w14:textId="77777777" w:rsidR="006A2D41" w:rsidRPr="006A2D41" w:rsidRDefault="006A2D41" w:rsidP="006A2D41">
            <w:pPr>
              <w:jc w:val="both"/>
            </w:pPr>
          </w:p>
        </w:tc>
      </w:tr>
      <w:tr w:rsidR="006A2D41" w:rsidRPr="006A2D41" w14:paraId="7F5F42E6" w14:textId="77777777" w:rsidTr="006A2D41">
        <w:tc>
          <w:tcPr>
            <w:tcW w:w="2122" w:type="dxa"/>
            <w:tcBorders>
              <w:top w:val="single" w:sz="4" w:space="0" w:color="auto"/>
              <w:left w:val="single" w:sz="4" w:space="0" w:color="auto"/>
              <w:bottom w:val="single" w:sz="4" w:space="0" w:color="auto"/>
              <w:right w:val="single" w:sz="4" w:space="0" w:color="auto"/>
            </w:tcBorders>
            <w:hideMark/>
          </w:tcPr>
          <w:p w14:paraId="13895877" w14:textId="77777777" w:rsidR="006A2D41" w:rsidRPr="006A2D41" w:rsidRDefault="006A2D41" w:rsidP="006A2D41">
            <w:pPr>
              <w:jc w:val="both"/>
            </w:pPr>
            <w:r w:rsidRPr="006A2D41">
              <w:t>2022 (estimation)</w:t>
            </w:r>
          </w:p>
        </w:tc>
        <w:tc>
          <w:tcPr>
            <w:tcW w:w="3919" w:type="dxa"/>
            <w:tcBorders>
              <w:top w:val="single" w:sz="4" w:space="0" w:color="auto"/>
              <w:left w:val="single" w:sz="4" w:space="0" w:color="auto"/>
              <w:bottom w:val="single" w:sz="4" w:space="0" w:color="auto"/>
              <w:right w:val="single" w:sz="4" w:space="0" w:color="auto"/>
            </w:tcBorders>
          </w:tcPr>
          <w:p w14:paraId="171394A4" w14:textId="77777777" w:rsidR="006A2D41" w:rsidRPr="006A2D41" w:rsidRDefault="006A2D41" w:rsidP="006A2D41">
            <w:pPr>
              <w:jc w:val="both"/>
            </w:pPr>
          </w:p>
        </w:tc>
        <w:tc>
          <w:tcPr>
            <w:tcW w:w="3021" w:type="dxa"/>
            <w:tcBorders>
              <w:top w:val="single" w:sz="4" w:space="0" w:color="auto"/>
              <w:left w:val="single" w:sz="4" w:space="0" w:color="auto"/>
              <w:bottom w:val="single" w:sz="4" w:space="0" w:color="auto"/>
              <w:right w:val="single" w:sz="4" w:space="0" w:color="auto"/>
            </w:tcBorders>
          </w:tcPr>
          <w:p w14:paraId="653A0F06" w14:textId="77777777" w:rsidR="006A2D41" w:rsidRPr="006A2D41" w:rsidRDefault="006A2D41" w:rsidP="006A2D41">
            <w:pPr>
              <w:jc w:val="both"/>
            </w:pPr>
          </w:p>
        </w:tc>
      </w:tr>
      <w:tr w:rsidR="006A2D41" w:rsidRPr="006A2D41" w14:paraId="1F7326CA" w14:textId="77777777" w:rsidTr="006A2D41">
        <w:tc>
          <w:tcPr>
            <w:tcW w:w="2122" w:type="dxa"/>
            <w:tcBorders>
              <w:top w:val="single" w:sz="4" w:space="0" w:color="auto"/>
              <w:left w:val="single" w:sz="4" w:space="0" w:color="auto"/>
              <w:bottom w:val="single" w:sz="4" w:space="0" w:color="auto"/>
              <w:right w:val="single" w:sz="4" w:space="0" w:color="auto"/>
            </w:tcBorders>
            <w:hideMark/>
          </w:tcPr>
          <w:p w14:paraId="04967D13" w14:textId="77777777" w:rsidR="006A2D41" w:rsidRPr="006A2D41" w:rsidRDefault="006A2D41" w:rsidP="006A2D41">
            <w:pPr>
              <w:jc w:val="both"/>
            </w:pPr>
            <w:r w:rsidRPr="006A2D41">
              <w:t>2023 (estimation)</w:t>
            </w:r>
          </w:p>
        </w:tc>
        <w:tc>
          <w:tcPr>
            <w:tcW w:w="3919" w:type="dxa"/>
            <w:tcBorders>
              <w:top w:val="single" w:sz="4" w:space="0" w:color="auto"/>
              <w:left w:val="single" w:sz="4" w:space="0" w:color="auto"/>
              <w:bottom w:val="single" w:sz="4" w:space="0" w:color="auto"/>
              <w:right w:val="single" w:sz="4" w:space="0" w:color="auto"/>
            </w:tcBorders>
          </w:tcPr>
          <w:p w14:paraId="1C48FDC6" w14:textId="77777777" w:rsidR="006A2D41" w:rsidRPr="006A2D41" w:rsidRDefault="006A2D41" w:rsidP="006A2D41">
            <w:pPr>
              <w:jc w:val="both"/>
            </w:pPr>
          </w:p>
        </w:tc>
        <w:tc>
          <w:tcPr>
            <w:tcW w:w="3021" w:type="dxa"/>
            <w:tcBorders>
              <w:top w:val="single" w:sz="4" w:space="0" w:color="auto"/>
              <w:left w:val="single" w:sz="4" w:space="0" w:color="auto"/>
              <w:bottom w:val="single" w:sz="4" w:space="0" w:color="auto"/>
              <w:right w:val="single" w:sz="4" w:space="0" w:color="auto"/>
            </w:tcBorders>
          </w:tcPr>
          <w:p w14:paraId="373C4D6D" w14:textId="77777777" w:rsidR="006A2D41" w:rsidRPr="006A2D41" w:rsidRDefault="006A2D41" w:rsidP="006A2D41">
            <w:pPr>
              <w:jc w:val="both"/>
            </w:pPr>
          </w:p>
        </w:tc>
      </w:tr>
    </w:tbl>
    <w:p w14:paraId="1FA3E535" w14:textId="38B403DE" w:rsidR="006A2D41" w:rsidRDefault="006A2D41" w:rsidP="006A2D41">
      <w:pPr>
        <w:spacing w:line="256" w:lineRule="auto"/>
        <w:jc w:val="both"/>
        <w:rPr>
          <w:rFonts w:ascii="Calibri" w:eastAsia="Calibri" w:hAnsi="Calibri" w:cs="Times New Roman"/>
          <w:b/>
          <w:bCs/>
          <w:color w:val="4472C4" w:themeColor="accent1"/>
          <w:u w:val="single"/>
        </w:rPr>
      </w:pPr>
    </w:p>
    <w:p w14:paraId="6D051BEF" w14:textId="78404336" w:rsidR="00C80767" w:rsidRPr="008D25E6" w:rsidRDefault="00C80767" w:rsidP="006A2D41">
      <w:pPr>
        <w:spacing w:line="256" w:lineRule="auto"/>
        <w:jc w:val="both"/>
        <w:rPr>
          <w:rFonts w:ascii="Calibri" w:eastAsia="Calibri" w:hAnsi="Calibri" w:cs="Times New Roman"/>
        </w:rPr>
      </w:pPr>
      <w:r w:rsidRPr="008D25E6">
        <w:rPr>
          <w:rFonts w:ascii="Calibri" w:eastAsia="Calibri" w:hAnsi="Calibri" w:cs="Times New Roman"/>
        </w:rPr>
        <w:t>Quelles mesures comptez-vous prendre pour passer à l’éclairage public intelligent dans les espaces publics moins fréquentés en période d’obscurité (atténuation de la lumière sauf lors du passage d’usagers de l’espace) ?</w:t>
      </w:r>
    </w:p>
    <w:p w14:paraId="31871F1B" w14:textId="77777777" w:rsidR="00E022D1" w:rsidRDefault="00C80767" w:rsidP="006A2D41">
      <w:pPr>
        <w:spacing w:line="256" w:lineRule="auto"/>
        <w:jc w:val="both"/>
        <w:rPr>
          <w:rFonts w:ascii="Calibri" w:eastAsia="Calibri" w:hAnsi="Calibri" w:cs="Times New Roman"/>
        </w:rPr>
      </w:pPr>
      <w:r w:rsidRPr="008D25E6">
        <w:rPr>
          <w:rFonts w:ascii="Calibri" w:eastAsia="Calibri" w:hAnsi="Calibri" w:cs="Times New Roman"/>
        </w:rPr>
        <w:t>Investiguez-vous sur la généralisation dans les espaces publics d’un éclairage intelligent dépendant de la fréquentation</w:t>
      </w:r>
      <w:r w:rsidR="00E022D1">
        <w:rPr>
          <w:rFonts w:ascii="Calibri" w:eastAsia="Calibri" w:hAnsi="Calibri" w:cs="Times New Roman"/>
        </w:rPr>
        <w:t> ?</w:t>
      </w:r>
    </w:p>
    <w:p w14:paraId="435F23B1" w14:textId="3A193B22" w:rsidR="00E022D1" w:rsidRDefault="00E022D1" w:rsidP="006A2D41">
      <w:pPr>
        <w:spacing w:line="256" w:lineRule="auto"/>
        <w:jc w:val="both"/>
        <w:rPr>
          <w:rFonts w:ascii="Calibri" w:eastAsia="Calibri" w:hAnsi="Calibri" w:cs="Times New Roman"/>
        </w:rPr>
      </w:pPr>
      <w:r>
        <w:rPr>
          <w:rFonts w:ascii="Calibri" w:eastAsia="Calibri" w:hAnsi="Calibri" w:cs="Times New Roman"/>
        </w:rPr>
        <w:t xml:space="preserve">Envisagez-vous de faire évoluer la détection de panne du réseau d’éclairage public basé sur le </w:t>
      </w:r>
      <w:proofErr w:type="spellStart"/>
      <w:r>
        <w:rPr>
          <w:rFonts w:ascii="Calibri" w:eastAsia="Calibri" w:hAnsi="Calibri" w:cs="Times New Roman"/>
        </w:rPr>
        <w:t>scouting</w:t>
      </w:r>
      <w:proofErr w:type="spellEnd"/>
      <w:r>
        <w:rPr>
          <w:rFonts w:ascii="Calibri" w:eastAsia="Calibri" w:hAnsi="Calibri" w:cs="Times New Roman"/>
        </w:rPr>
        <w:t xml:space="preserve"> de jour avec luminaires allumés et sur la vigilance des citoyens </w:t>
      </w:r>
      <w:r w:rsidR="00C80767" w:rsidRPr="008D25E6">
        <w:rPr>
          <w:rFonts w:ascii="Calibri" w:eastAsia="Calibri" w:hAnsi="Calibri" w:cs="Times New Roman"/>
        </w:rPr>
        <w:t>?</w:t>
      </w:r>
    </w:p>
    <w:p w14:paraId="74FE61B6" w14:textId="05E17E50" w:rsidR="00E022D1" w:rsidRDefault="00BC0728" w:rsidP="006A2D41">
      <w:pPr>
        <w:spacing w:line="256" w:lineRule="auto"/>
        <w:jc w:val="both"/>
        <w:rPr>
          <w:rFonts w:ascii="Calibri" w:eastAsia="Calibri" w:hAnsi="Calibri" w:cs="Times New Roman"/>
        </w:rPr>
      </w:pPr>
      <w:r>
        <w:rPr>
          <w:rFonts w:ascii="Calibri" w:eastAsia="Calibri" w:hAnsi="Calibri" w:cs="Times New Roman"/>
        </w:rPr>
        <w:t>Envisagez-vous de faire évoluer les outils mis à disposition de la Ville et des usagers pour gérer le réseau d’éclairage public.</w:t>
      </w:r>
    </w:p>
    <w:p w14:paraId="36B78287" w14:textId="77777777" w:rsidR="00BC0728" w:rsidRPr="00E022D1" w:rsidRDefault="00BC0728" w:rsidP="006A2D41">
      <w:pPr>
        <w:spacing w:line="256" w:lineRule="auto"/>
        <w:jc w:val="both"/>
        <w:rPr>
          <w:rFonts w:ascii="Calibri" w:eastAsia="Calibri" w:hAnsi="Calibri" w:cs="Times New Roman"/>
        </w:rPr>
      </w:pPr>
    </w:p>
    <w:p w14:paraId="6D9CE337" w14:textId="209040C6" w:rsidR="006A2D41" w:rsidRDefault="006A2D41" w:rsidP="006A2D41">
      <w:pPr>
        <w:numPr>
          <w:ilvl w:val="1"/>
          <w:numId w:val="1"/>
        </w:numPr>
        <w:spacing w:line="256" w:lineRule="auto"/>
        <w:contextualSpacing/>
        <w:jc w:val="both"/>
        <w:rPr>
          <w:rFonts w:ascii="Calibri" w:eastAsia="Calibri" w:hAnsi="Calibri" w:cs="Times New Roman"/>
          <w:b/>
          <w:bCs/>
          <w:color w:val="4472C4" w:themeColor="accent1"/>
          <w:u w:val="single"/>
        </w:rPr>
      </w:pPr>
      <w:r w:rsidRPr="006A2D41">
        <w:rPr>
          <w:rFonts w:ascii="Calibri" w:eastAsia="Calibri" w:hAnsi="Calibri" w:cs="Times New Roman"/>
          <w:b/>
          <w:bCs/>
          <w:color w:val="4472C4" w:themeColor="accent1"/>
          <w:u w:val="single"/>
        </w:rPr>
        <w:t>Actions en matière d’efficacité énergétique</w:t>
      </w:r>
    </w:p>
    <w:p w14:paraId="5911A18A" w14:textId="77777777" w:rsidR="006A2D41" w:rsidRPr="006A2D41" w:rsidRDefault="006A2D41" w:rsidP="006A2D41">
      <w:pPr>
        <w:spacing w:line="256" w:lineRule="auto"/>
        <w:ind w:left="1800"/>
        <w:contextualSpacing/>
        <w:jc w:val="both"/>
        <w:rPr>
          <w:rFonts w:ascii="Calibri" w:eastAsia="Calibri" w:hAnsi="Calibri" w:cs="Times New Roman"/>
          <w:b/>
          <w:bCs/>
          <w:color w:val="4472C4" w:themeColor="accent1"/>
          <w:u w:val="single"/>
        </w:rPr>
      </w:pPr>
    </w:p>
    <w:p w14:paraId="36C5A154" w14:textId="77777777"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lastRenderedPageBreak/>
        <w:t>En matière d’efficacité énergétique, les GRD peuvent réduire leurs pertes en réseau et ainsi diminuer leur empreinte carbone.</w:t>
      </w:r>
    </w:p>
    <w:p w14:paraId="56CAE02B" w14:textId="4836E623" w:rsid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Indiquez l’évolution des pertes réseau de ces 5 dernières années. Décrivez brièvement les initiatives prises à ce jour par votre GRD pour réduire les pertes réseau, ainsi que les actions futures que vous envisagez en la matière.</w:t>
      </w:r>
    </w:p>
    <w:p w14:paraId="7D27A188" w14:textId="0800FA4A" w:rsidR="00CC3D88" w:rsidRPr="006A2D41" w:rsidRDefault="00CC3D88" w:rsidP="006A2D41">
      <w:pPr>
        <w:spacing w:line="256" w:lineRule="auto"/>
        <w:jc w:val="both"/>
        <w:rPr>
          <w:rFonts w:ascii="Calibri" w:eastAsia="Calibri" w:hAnsi="Calibri" w:cs="Times New Roman"/>
        </w:rPr>
      </w:pPr>
      <w:r>
        <w:rPr>
          <w:rFonts w:ascii="Calibri" w:eastAsia="Calibri" w:hAnsi="Calibri" w:cs="Times New Roman"/>
        </w:rPr>
        <w:t xml:space="preserve">Pouvez-vous donner un ordre de grandeur du rendement de votre réseau </w:t>
      </w:r>
      <w:r w:rsidR="0054228F">
        <w:rPr>
          <w:rFonts w:ascii="Calibri" w:eastAsia="Calibri" w:hAnsi="Calibri" w:cs="Times New Roman"/>
        </w:rPr>
        <w:t xml:space="preserve">et de celui d’Elia </w:t>
      </w:r>
      <w:r>
        <w:rPr>
          <w:rFonts w:ascii="Calibri" w:eastAsia="Calibri" w:hAnsi="Calibri" w:cs="Times New Roman"/>
        </w:rPr>
        <w:t>entre l’électricité finale livrée sur le territoire de la Ville de Spa et l’électricité en énergie primaire prélevée à la planète </w:t>
      </w:r>
      <w:r w:rsidR="0054228F">
        <w:rPr>
          <w:rFonts w:ascii="Calibri" w:eastAsia="Calibri" w:hAnsi="Calibri" w:cs="Times New Roman"/>
        </w:rPr>
        <w:t xml:space="preserve">là où elle est produite </w:t>
      </w:r>
      <w:r>
        <w:rPr>
          <w:rFonts w:ascii="Calibri" w:eastAsia="Calibri" w:hAnsi="Calibri" w:cs="Times New Roman"/>
        </w:rPr>
        <w:t xml:space="preserve">? </w:t>
      </w:r>
    </w:p>
    <w:p w14:paraId="4006A47E" w14:textId="77777777" w:rsidR="006A2D41" w:rsidRPr="006A2D41" w:rsidRDefault="006A2D41" w:rsidP="006A2D41">
      <w:pPr>
        <w:spacing w:line="256" w:lineRule="auto"/>
        <w:jc w:val="both"/>
        <w:rPr>
          <w:rFonts w:ascii="Calibri" w:eastAsia="Calibri" w:hAnsi="Calibri" w:cs="Times New Roman"/>
        </w:rPr>
      </w:pPr>
    </w:p>
    <w:p w14:paraId="59E14B91" w14:textId="146F16C5" w:rsidR="006A2D41" w:rsidRDefault="006A2D41" w:rsidP="006A2D41">
      <w:pPr>
        <w:numPr>
          <w:ilvl w:val="1"/>
          <w:numId w:val="1"/>
        </w:numPr>
        <w:spacing w:line="256" w:lineRule="auto"/>
        <w:contextualSpacing/>
        <w:jc w:val="both"/>
        <w:rPr>
          <w:rFonts w:ascii="Calibri" w:eastAsia="Calibri" w:hAnsi="Calibri" w:cs="Times New Roman"/>
          <w:b/>
          <w:bCs/>
          <w:color w:val="4472C4" w:themeColor="accent1"/>
          <w:u w:val="single"/>
        </w:rPr>
      </w:pPr>
      <w:r w:rsidRPr="006A2D41">
        <w:rPr>
          <w:rFonts w:ascii="Calibri" w:eastAsia="Calibri" w:hAnsi="Calibri" w:cs="Times New Roman"/>
          <w:b/>
          <w:bCs/>
          <w:color w:val="4472C4" w:themeColor="accent1"/>
          <w:u w:val="single"/>
        </w:rPr>
        <w:t>Actions en faveur de la mobilité électrique</w:t>
      </w:r>
    </w:p>
    <w:p w14:paraId="04C94775" w14:textId="77777777" w:rsidR="006A2D41" w:rsidRPr="006A2D41" w:rsidRDefault="006A2D41" w:rsidP="006A2D41">
      <w:pPr>
        <w:spacing w:line="256" w:lineRule="auto"/>
        <w:ind w:left="1800"/>
        <w:contextualSpacing/>
        <w:jc w:val="both"/>
        <w:rPr>
          <w:rFonts w:ascii="Calibri" w:eastAsia="Calibri" w:hAnsi="Calibri" w:cs="Times New Roman"/>
          <w:b/>
          <w:bCs/>
          <w:color w:val="4472C4" w:themeColor="accent1"/>
          <w:u w:val="single"/>
        </w:rPr>
      </w:pPr>
    </w:p>
    <w:p w14:paraId="331CD2B1" w14:textId="77777777"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 xml:space="preserve">Pour la commune, la mobilité électrique est un enjeu important dans le cadre des « smart city ». </w:t>
      </w:r>
    </w:p>
    <w:p w14:paraId="31A4898B" w14:textId="48072FE4" w:rsidR="006A2D41" w:rsidRDefault="006A2D41" w:rsidP="00695DD1">
      <w:pPr>
        <w:spacing w:line="256" w:lineRule="auto"/>
        <w:jc w:val="both"/>
        <w:rPr>
          <w:rFonts w:ascii="Calibri" w:eastAsia="Calibri" w:hAnsi="Calibri" w:cs="Times New Roman"/>
        </w:rPr>
      </w:pPr>
      <w:r w:rsidRPr="006A2D41">
        <w:rPr>
          <w:rFonts w:ascii="Calibri" w:eastAsia="Calibri" w:hAnsi="Calibri" w:cs="Times New Roman"/>
        </w:rPr>
        <w:t>Veuillez brièvement nous indiqu</w:t>
      </w:r>
      <w:r w:rsidR="00AB0E1E">
        <w:rPr>
          <w:rFonts w:ascii="Calibri" w:eastAsia="Calibri" w:hAnsi="Calibri" w:cs="Times New Roman"/>
        </w:rPr>
        <w:t>.</w:t>
      </w:r>
      <w:r w:rsidRPr="006A2D41">
        <w:rPr>
          <w:rFonts w:ascii="Calibri" w:eastAsia="Calibri" w:hAnsi="Calibri" w:cs="Times New Roman"/>
        </w:rPr>
        <w:t>er les actions que votre GRD a entrepris et compte entreprendre à l’avenir dans ce domaine. Envisagez-vous des projets spécifiques en la matière sur le territoire de notre commune ?</w:t>
      </w:r>
      <w:bookmarkEnd w:id="2"/>
    </w:p>
    <w:p w14:paraId="0C4DB318" w14:textId="73929C67" w:rsidR="00695DD1" w:rsidRDefault="00695DD1" w:rsidP="00695DD1">
      <w:pPr>
        <w:spacing w:line="256" w:lineRule="auto"/>
        <w:jc w:val="both"/>
        <w:rPr>
          <w:rFonts w:ascii="Calibri" w:eastAsia="Calibri" w:hAnsi="Calibri" w:cs="Times New Roman"/>
          <w:color w:val="4472C4" w:themeColor="accent1"/>
          <w:sz w:val="14"/>
          <w:szCs w:val="14"/>
          <w:u w:val="single"/>
        </w:rPr>
      </w:pPr>
    </w:p>
    <w:p w14:paraId="1597A7A0" w14:textId="79D626C5" w:rsidR="00C80767" w:rsidRPr="001C3AF1" w:rsidRDefault="00C80767" w:rsidP="00C80767">
      <w:pPr>
        <w:pStyle w:val="Paragraphedeliste"/>
        <w:numPr>
          <w:ilvl w:val="1"/>
          <w:numId w:val="1"/>
        </w:numPr>
        <w:spacing w:line="256" w:lineRule="auto"/>
        <w:jc w:val="both"/>
        <w:rPr>
          <w:rFonts w:ascii="Calibri" w:eastAsia="Calibri" w:hAnsi="Calibri" w:cs="Times New Roman"/>
          <w:b/>
          <w:bCs/>
          <w:color w:val="4472C4" w:themeColor="accent1"/>
          <w:u w:val="single"/>
        </w:rPr>
      </w:pPr>
      <w:r w:rsidRPr="001C3AF1">
        <w:rPr>
          <w:rFonts w:ascii="Calibri" w:eastAsia="Calibri" w:hAnsi="Calibri" w:cs="Times New Roman"/>
          <w:b/>
          <w:bCs/>
          <w:color w:val="4472C4" w:themeColor="accent1"/>
          <w:u w:val="single"/>
        </w:rPr>
        <w:t>Autres propositions</w:t>
      </w:r>
    </w:p>
    <w:p w14:paraId="11A99165" w14:textId="33031F69" w:rsidR="00D777B6" w:rsidRPr="001C3AF1" w:rsidRDefault="00D777B6" w:rsidP="00695DD1">
      <w:pPr>
        <w:spacing w:line="256" w:lineRule="auto"/>
        <w:jc w:val="both"/>
        <w:rPr>
          <w:rFonts w:ascii="Calibri" w:eastAsia="Calibri" w:hAnsi="Calibri" w:cs="Times New Roman"/>
          <w:b/>
          <w:bCs/>
        </w:rPr>
      </w:pPr>
      <w:r w:rsidRPr="001C3AF1">
        <w:rPr>
          <w:rFonts w:ascii="Calibri" w:eastAsia="Calibri" w:hAnsi="Calibri" w:cs="Times New Roman"/>
          <w:b/>
          <w:bCs/>
        </w:rPr>
        <w:t>Vos propositions</w:t>
      </w:r>
    </w:p>
    <w:p w14:paraId="7D5DAA28" w14:textId="77777777" w:rsidR="00D777B6" w:rsidRDefault="00D777B6" w:rsidP="00695DD1">
      <w:pPr>
        <w:spacing w:line="256" w:lineRule="auto"/>
        <w:jc w:val="both"/>
        <w:rPr>
          <w:rFonts w:ascii="Calibri" w:eastAsia="Calibri" w:hAnsi="Calibri" w:cs="Times New Roman"/>
          <w:color w:val="4472C4" w:themeColor="accent1"/>
          <w:sz w:val="14"/>
          <w:szCs w:val="14"/>
          <w:u w:val="single"/>
        </w:rPr>
      </w:pPr>
    </w:p>
    <w:p w14:paraId="24CCDB6D" w14:textId="77777777" w:rsidR="00C80767" w:rsidRPr="00695DD1" w:rsidRDefault="00C80767" w:rsidP="00695DD1">
      <w:pPr>
        <w:spacing w:line="256" w:lineRule="auto"/>
        <w:jc w:val="both"/>
        <w:rPr>
          <w:rFonts w:ascii="Calibri" w:eastAsia="Calibri" w:hAnsi="Calibri" w:cs="Times New Roman"/>
          <w:color w:val="4472C4" w:themeColor="accent1"/>
          <w:sz w:val="14"/>
          <w:szCs w:val="14"/>
          <w:u w:val="single"/>
        </w:rPr>
      </w:pPr>
    </w:p>
    <w:p w14:paraId="3C810B19" w14:textId="77777777" w:rsidR="006A2D41" w:rsidRPr="006A2D41" w:rsidRDefault="006A2D41" w:rsidP="006A2D41">
      <w:pPr>
        <w:numPr>
          <w:ilvl w:val="0"/>
          <w:numId w:val="1"/>
        </w:numPr>
        <w:spacing w:line="256" w:lineRule="auto"/>
        <w:contextualSpacing/>
        <w:jc w:val="both"/>
        <w:rPr>
          <w:rFonts w:ascii="Calibri" w:eastAsia="Calibri" w:hAnsi="Calibri" w:cs="Times New Roman"/>
          <w:color w:val="4472C4" w:themeColor="accent1"/>
          <w:sz w:val="28"/>
          <w:szCs w:val="28"/>
          <w:u w:val="single"/>
        </w:rPr>
      </w:pPr>
      <w:r w:rsidRPr="006A2D41">
        <w:rPr>
          <w:rFonts w:ascii="Calibri" w:eastAsia="Calibri" w:hAnsi="Calibri" w:cs="Times New Roman"/>
          <w:color w:val="4472C4" w:themeColor="accent1"/>
          <w:sz w:val="28"/>
          <w:szCs w:val="28"/>
          <w:u w:val="single"/>
        </w:rPr>
        <w:t>Critères liés à la Gouvernance et la transparence</w:t>
      </w:r>
    </w:p>
    <w:p w14:paraId="3D939825"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6240AA04"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r w:rsidRPr="006A2D41">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F90A694" wp14:editId="6B537991">
                <wp:simplePos x="0" y="0"/>
                <wp:positionH relativeFrom="margin">
                  <wp:align>left</wp:align>
                </wp:positionH>
                <wp:positionV relativeFrom="paragraph">
                  <wp:posOffset>26670</wp:posOffset>
                </wp:positionV>
                <wp:extent cx="5686425" cy="733425"/>
                <wp:effectExtent l="0" t="0" r="28575" b="28575"/>
                <wp:wrapNone/>
                <wp:docPr id="4" name="Rectangle : coins arrondis 9"/>
                <wp:cNvGraphicFramePr/>
                <a:graphic xmlns:a="http://schemas.openxmlformats.org/drawingml/2006/main">
                  <a:graphicData uri="http://schemas.microsoft.com/office/word/2010/wordprocessingShape">
                    <wps:wsp>
                      <wps:cNvSpPr/>
                      <wps:spPr>
                        <a:xfrm>
                          <a:off x="0" y="0"/>
                          <a:ext cx="5686425" cy="733425"/>
                        </a:xfrm>
                        <a:prstGeom prst="roundRect">
                          <a:avLst>
                            <a:gd name="adj" fmla="val 19760"/>
                          </a:avLst>
                        </a:prstGeom>
                        <a:solidFill>
                          <a:sysClr val="window" lastClr="FFFFFF"/>
                        </a:solidFill>
                        <a:ln w="12700" cap="flat" cmpd="sng" algn="ctr">
                          <a:solidFill>
                            <a:srgbClr val="ED7D31"/>
                          </a:solidFill>
                          <a:prstDash val="solid"/>
                          <a:miter lim="800000"/>
                        </a:ln>
                        <a:effectLst/>
                      </wps:spPr>
                      <wps:txbx>
                        <w:txbxContent>
                          <w:p w14:paraId="54B3A1F0" w14:textId="498B61CC" w:rsidR="006A2D41" w:rsidRDefault="006A2D41" w:rsidP="006A2D41">
                            <w:pPr>
                              <w:jc w:val="both"/>
                            </w:pPr>
                            <w:r>
                              <w:t>Pour la commune, le candidat GRD doit faire preuve de bonne gouvernance, d’éthique et de transparence dans l</w:t>
                            </w:r>
                            <w:r w:rsidR="006777E8">
                              <w:t>e</w:t>
                            </w:r>
                            <w:r>
                              <w:t xml:space="preserve"> cadre de sa gestion. La capacité pour la commune d’être étroitement impliquée dans les décisions du candidat GRD a toute son importance.</w:t>
                            </w:r>
                          </w:p>
                          <w:p w14:paraId="0A585107" w14:textId="77777777" w:rsidR="006A2D41" w:rsidRDefault="006A2D41" w:rsidP="006A2D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0A694" id="Rectangle : coins arrondis 9" o:spid="_x0000_s1027" style="position:absolute;left:0;text-align:left;margin-left:0;margin-top:2.1pt;width:447.75pt;height:5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2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" fillcolor="window" strokecolor="#ed7d31" strokeweight="1pt">
                <v:stroke joinstyle="miter"/>
                <v:textbox>
                  <w:txbxContent>
                    <w:p w14:paraId="54B3A1F0" w14:textId="498B61CC" w:rsidR="006A2D41" w:rsidRDefault="006A2D41" w:rsidP="006A2D41">
                      <w:pPr>
                        <w:jc w:val="both"/>
                      </w:pPr>
                      <w:r>
                        <w:t>Pour la commune, le candidat GRD doit faire preuve de bonne gouvernance, d’éthique et de transparence dans l</w:t>
                      </w:r>
                      <w:r w:rsidR="006777E8">
                        <w:t>e</w:t>
                      </w:r>
                      <w:r>
                        <w:t xml:space="preserve"> cadre de sa gestion. La capacité pour la commune d’être étroitement impliquée dans les décisions du candidat GRD a toute son importance.</w:t>
                      </w:r>
                    </w:p>
                    <w:p w14:paraId="0A585107" w14:textId="77777777" w:rsidR="006A2D41" w:rsidRDefault="006A2D41" w:rsidP="006A2D41"/>
                  </w:txbxContent>
                </v:textbox>
                <w10:wrap anchorx="margin"/>
              </v:roundrect>
            </w:pict>
          </mc:Fallback>
        </mc:AlternateContent>
      </w:r>
    </w:p>
    <w:p w14:paraId="65C74ED7"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2A2883D2"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6F55D079"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4A2BB335" w14:textId="77777777" w:rsidR="006A2D41" w:rsidRPr="006A2D41" w:rsidRDefault="006A2D41" w:rsidP="006A2D41">
      <w:pPr>
        <w:spacing w:after="0" w:line="256" w:lineRule="auto"/>
        <w:ind w:left="1434"/>
        <w:contextualSpacing/>
        <w:jc w:val="both"/>
        <w:rPr>
          <w:rFonts w:ascii="Calibri" w:eastAsia="Calibri" w:hAnsi="Calibri" w:cs="Times New Roman"/>
          <w:b/>
          <w:bCs/>
          <w:color w:val="4472C4" w:themeColor="accent1"/>
          <w:u w:val="single"/>
        </w:rPr>
      </w:pPr>
    </w:p>
    <w:p w14:paraId="6CC9E9D8" w14:textId="77777777" w:rsidR="006A2D41" w:rsidRPr="00695DD1" w:rsidRDefault="006A2D41" w:rsidP="006A2D41">
      <w:pPr>
        <w:spacing w:after="0" w:line="256" w:lineRule="auto"/>
        <w:ind w:left="1434"/>
        <w:contextualSpacing/>
        <w:jc w:val="both"/>
        <w:rPr>
          <w:rFonts w:ascii="Calibri" w:eastAsia="Calibri" w:hAnsi="Calibri" w:cs="Times New Roman"/>
          <w:b/>
          <w:bCs/>
          <w:color w:val="4472C4" w:themeColor="accent1"/>
          <w:sz w:val="10"/>
          <w:szCs w:val="10"/>
          <w:u w:val="single"/>
        </w:rPr>
      </w:pPr>
    </w:p>
    <w:p w14:paraId="161F5E68" w14:textId="77777777" w:rsidR="006A2D41" w:rsidRPr="006A2D41" w:rsidRDefault="006A2D41" w:rsidP="006A2D41">
      <w:pPr>
        <w:numPr>
          <w:ilvl w:val="1"/>
          <w:numId w:val="1"/>
        </w:numPr>
        <w:spacing w:after="0" w:line="256" w:lineRule="auto"/>
        <w:ind w:left="1434" w:hanging="357"/>
        <w:contextualSpacing/>
        <w:jc w:val="both"/>
        <w:rPr>
          <w:rFonts w:ascii="Calibri" w:eastAsia="Calibri" w:hAnsi="Calibri" w:cs="Times New Roman"/>
          <w:b/>
          <w:bCs/>
          <w:color w:val="4472C4" w:themeColor="accent1"/>
          <w:u w:val="single"/>
        </w:rPr>
      </w:pPr>
      <w:r w:rsidRPr="006A2D41">
        <w:rPr>
          <w:rFonts w:ascii="Calibri" w:eastAsia="Calibri" w:hAnsi="Calibri" w:cs="Times New Roman"/>
          <w:b/>
          <w:bCs/>
          <w:color w:val="4472C4" w:themeColor="accent1"/>
          <w:u w:val="single"/>
        </w:rPr>
        <w:t>Structure actionnariale</w:t>
      </w:r>
    </w:p>
    <w:p w14:paraId="4C758B21" w14:textId="77777777" w:rsidR="006A2D41" w:rsidRPr="006A2D41" w:rsidRDefault="006A2D41" w:rsidP="006A2D41">
      <w:pPr>
        <w:spacing w:after="0" w:line="256" w:lineRule="auto"/>
        <w:jc w:val="both"/>
        <w:rPr>
          <w:rFonts w:ascii="Calibri" w:eastAsia="Calibri" w:hAnsi="Calibri" w:cs="Times New Roman"/>
          <w:b/>
          <w:bCs/>
          <w:color w:val="4472C4" w:themeColor="accent1"/>
          <w:u w:val="single"/>
        </w:rPr>
      </w:pPr>
    </w:p>
    <w:p w14:paraId="5467588A" w14:textId="77777777" w:rsidR="006A2D41" w:rsidRPr="006A2D41" w:rsidRDefault="006A2D41" w:rsidP="006A2D41">
      <w:pPr>
        <w:spacing w:after="0" w:line="256" w:lineRule="auto"/>
        <w:jc w:val="both"/>
        <w:rPr>
          <w:rFonts w:ascii="Calibri" w:eastAsia="Calibri" w:hAnsi="Calibri" w:cs="Times New Roman"/>
        </w:rPr>
      </w:pPr>
      <w:r w:rsidRPr="006A2D41">
        <w:rPr>
          <w:rFonts w:ascii="Calibri" w:eastAsia="Calibri" w:hAnsi="Calibri" w:cs="Times New Roman"/>
        </w:rPr>
        <w:t>Pour la commune, la simplicité de la structure actionnariale du candidat GRD est un avantage, e.a. en termes de transparence.</w:t>
      </w:r>
    </w:p>
    <w:p w14:paraId="1BBC8106" w14:textId="77777777" w:rsidR="006A2D41" w:rsidRPr="006A2D41" w:rsidRDefault="006A2D41" w:rsidP="006A2D41">
      <w:pPr>
        <w:spacing w:after="0" w:line="256" w:lineRule="auto"/>
        <w:jc w:val="both"/>
        <w:rPr>
          <w:rFonts w:ascii="Calibri" w:eastAsia="Calibri" w:hAnsi="Calibri" w:cs="Times New Roman"/>
        </w:rPr>
      </w:pPr>
    </w:p>
    <w:p w14:paraId="29AE8352" w14:textId="77777777" w:rsidR="006A2D41" w:rsidRPr="006A2D41" w:rsidRDefault="006A2D41" w:rsidP="006A2D41">
      <w:pPr>
        <w:spacing w:after="0" w:line="256" w:lineRule="auto"/>
        <w:jc w:val="both"/>
        <w:rPr>
          <w:rFonts w:ascii="Calibri" w:eastAsia="Calibri" w:hAnsi="Calibri" w:cs="Times New Roman"/>
        </w:rPr>
      </w:pPr>
      <w:r w:rsidRPr="006A2D41">
        <w:rPr>
          <w:rFonts w:ascii="Calibri" w:eastAsia="Calibri" w:hAnsi="Calibri" w:cs="Times New Roman"/>
        </w:rPr>
        <w:t>Veuillez décrire, de façon schématique, la structure actionnariale actuelle de votre entreprise en tant que candidat GRD. Envisagez-vous des modifications au niveau de votre structure actionnariale et si oui lesquelles ?</w:t>
      </w:r>
    </w:p>
    <w:p w14:paraId="26F0A6D9" w14:textId="77777777" w:rsidR="006A2D41" w:rsidRPr="006A2D41" w:rsidRDefault="006A2D41" w:rsidP="006A2D41">
      <w:pPr>
        <w:spacing w:after="0" w:line="256" w:lineRule="auto"/>
        <w:jc w:val="both"/>
        <w:rPr>
          <w:rFonts w:ascii="Calibri" w:eastAsia="Calibri" w:hAnsi="Calibri" w:cs="Times New Roman"/>
          <w:b/>
          <w:bCs/>
          <w:color w:val="4472C4" w:themeColor="accent1"/>
          <w:u w:val="single"/>
        </w:rPr>
      </w:pPr>
    </w:p>
    <w:p w14:paraId="793DA64D" w14:textId="72AF1F1D" w:rsidR="006A2D41" w:rsidRPr="006A2D41" w:rsidRDefault="00581F28" w:rsidP="006A2D41">
      <w:pPr>
        <w:numPr>
          <w:ilvl w:val="1"/>
          <w:numId w:val="1"/>
        </w:numPr>
        <w:spacing w:after="0" w:line="256" w:lineRule="auto"/>
        <w:ind w:left="1434" w:hanging="357"/>
        <w:contextualSpacing/>
        <w:jc w:val="both"/>
        <w:rPr>
          <w:rFonts w:ascii="Calibri" w:eastAsia="Calibri" w:hAnsi="Calibri" w:cs="Times New Roman"/>
          <w:b/>
          <w:bCs/>
          <w:color w:val="4472C4" w:themeColor="accent1"/>
          <w:u w:val="single"/>
        </w:rPr>
      </w:pPr>
      <w:r>
        <w:rPr>
          <w:rFonts w:ascii="Calibri" w:eastAsia="Calibri" w:hAnsi="Calibri" w:cs="Times New Roman"/>
          <w:b/>
          <w:bCs/>
          <w:color w:val="4472C4" w:themeColor="accent1"/>
          <w:u w:val="single"/>
        </w:rPr>
        <w:t>M</w:t>
      </w:r>
      <w:r w:rsidR="006A2D41" w:rsidRPr="006A2D41">
        <w:rPr>
          <w:rFonts w:ascii="Calibri" w:eastAsia="Calibri" w:hAnsi="Calibri" w:cs="Times New Roman"/>
          <w:b/>
          <w:bCs/>
          <w:color w:val="4472C4" w:themeColor="accent1"/>
          <w:u w:val="single"/>
        </w:rPr>
        <w:t xml:space="preserve">esures de gouvernance </w:t>
      </w:r>
    </w:p>
    <w:p w14:paraId="4D21BF26" w14:textId="77777777" w:rsidR="006A2D41" w:rsidRPr="006A2D41" w:rsidRDefault="006A2D41" w:rsidP="006A2D41">
      <w:pPr>
        <w:spacing w:after="0" w:line="256" w:lineRule="auto"/>
        <w:rPr>
          <w:rFonts w:ascii="Calibri" w:eastAsia="Calibri" w:hAnsi="Calibri" w:cs="Times New Roman"/>
        </w:rPr>
      </w:pPr>
    </w:p>
    <w:p w14:paraId="22AEF34B" w14:textId="5BADAE7D" w:rsidR="006A2D41" w:rsidRPr="006A2D41" w:rsidRDefault="00581F28" w:rsidP="006A2D41">
      <w:pPr>
        <w:spacing w:after="0" w:line="256" w:lineRule="auto"/>
        <w:jc w:val="both"/>
        <w:rPr>
          <w:rFonts w:ascii="Calibri" w:eastAsia="Calibri" w:hAnsi="Calibri" w:cs="Times New Roman"/>
        </w:rPr>
      </w:pPr>
      <w:bookmarkStart w:id="5" w:name="_Hlk73693959"/>
      <w:r>
        <w:rPr>
          <w:rFonts w:ascii="Calibri" w:eastAsia="Calibri" w:hAnsi="Calibri" w:cs="Times New Roman"/>
        </w:rPr>
        <w:t>Quelles sont</w:t>
      </w:r>
      <w:r w:rsidR="00645329">
        <w:rPr>
          <w:rFonts w:ascii="Calibri" w:eastAsia="Calibri" w:hAnsi="Calibri" w:cs="Times New Roman"/>
        </w:rPr>
        <w:t>, au-delà des prescrits légaux et règlementaires,</w:t>
      </w:r>
      <w:r>
        <w:rPr>
          <w:rFonts w:ascii="Calibri" w:eastAsia="Calibri" w:hAnsi="Calibri" w:cs="Times New Roman"/>
        </w:rPr>
        <w:t xml:space="preserve"> les mesures de bonne gouvernance que vous avez mises en œuvre au sein de votre société ?</w:t>
      </w:r>
    </w:p>
    <w:bookmarkEnd w:id="5"/>
    <w:p w14:paraId="5855D62E" w14:textId="67C24463" w:rsidR="006A2D41" w:rsidRDefault="006A2D41" w:rsidP="006A2D41">
      <w:pPr>
        <w:spacing w:after="0" w:line="256" w:lineRule="auto"/>
        <w:jc w:val="both"/>
        <w:rPr>
          <w:rFonts w:ascii="Calibri" w:eastAsia="Calibri" w:hAnsi="Calibri" w:cs="Times New Roman"/>
        </w:rPr>
      </w:pPr>
    </w:p>
    <w:p w14:paraId="22C672A4" w14:textId="77777777" w:rsidR="001C3AF1" w:rsidRPr="006A2D41" w:rsidRDefault="001C3AF1" w:rsidP="006A2D41">
      <w:pPr>
        <w:spacing w:after="0" w:line="256" w:lineRule="auto"/>
        <w:jc w:val="both"/>
        <w:rPr>
          <w:rFonts w:ascii="Calibri" w:eastAsia="Calibri" w:hAnsi="Calibri" w:cs="Times New Roman"/>
        </w:rPr>
      </w:pPr>
    </w:p>
    <w:p w14:paraId="328662A6" w14:textId="77777777" w:rsidR="006A2D41" w:rsidRPr="006A2D41" w:rsidRDefault="006A2D41" w:rsidP="006A2D41">
      <w:pPr>
        <w:numPr>
          <w:ilvl w:val="0"/>
          <w:numId w:val="1"/>
        </w:numPr>
        <w:spacing w:line="256" w:lineRule="auto"/>
        <w:contextualSpacing/>
        <w:jc w:val="both"/>
        <w:rPr>
          <w:rFonts w:ascii="Calibri" w:eastAsia="Calibri" w:hAnsi="Calibri" w:cs="Times New Roman"/>
          <w:color w:val="4472C4" w:themeColor="accent1"/>
          <w:sz w:val="28"/>
          <w:szCs w:val="28"/>
          <w:u w:val="single"/>
        </w:rPr>
      </w:pPr>
      <w:r w:rsidRPr="006A2D41">
        <w:rPr>
          <w:rFonts w:ascii="Calibri" w:eastAsia="Calibri" w:hAnsi="Calibri" w:cs="Times New Roman"/>
          <w:color w:val="4472C4" w:themeColor="accent1"/>
          <w:sz w:val="28"/>
          <w:szCs w:val="28"/>
          <w:u w:val="single"/>
        </w:rPr>
        <w:lastRenderedPageBreak/>
        <w:t>Critères liés au service public de qualité et de proximité</w:t>
      </w:r>
    </w:p>
    <w:p w14:paraId="68833964"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0D3DAF49"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r w:rsidRPr="006A2D41">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7C6BAEFA" wp14:editId="4A249E09">
                <wp:simplePos x="0" y="0"/>
                <wp:positionH relativeFrom="margin">
                  <wp:align>left</wp:align>
                </wp:positionH>
                <wp:positionV relativeFrom="paragraph">
                  <wp:posOffset>12700</wp:posOffset>
                </wp:positionV>
                <wp:extent cx="5686425" cy="547370"/>
                <wp:effectExtent l="0" t="0" r="28575" b="24130"/>
                <wp:wrapNone/>
                <wp:docPr id="3" name="Rectangle : coins arrondis 8"/>
                <wp:cNvGraphicFramePr/>
                <a:graphic xmlns:a="http://schemas.openxmlformats.org/drawingml/2006/main">
                  <a:graphicData uri="http://schemas.microsoft.com/office/word/2010/wordprocessingShape">
                    <wps:wsp>
                      <wps:cNvSpPr/>
                      <wps:spPr>
                        <a:xfrm>
                          <a:off x="0" y="0"/>
                          <a:ext cx="5686425" cy="547370"/>
                        </a:xfrm>
                        <a:prstGeom prst="roundRect">
                          <a:avLst>
                            <a:gd name="adj" fmla="val 19760"/>
                          </a:avLst>
                        </a:prstGeom>
                        <a:solidFill>
                          <a:sysClr val="window" lastClr="FFFFFF"/>
                        </a:solidFill>
                        <a:ln w="12700" cap="flat" cmpd="sng" algn="ctr">
                          <a:solidFill>
                            <a:srgbClr val="ED7D31"/>
                          </a:solidFill>
                          <a:prstDash val="solid"/>
                          <a:miter lim="800000"/>
                        </a:ln>
                        <a:effectLst/>
                      </wps:spPr>
                      <wps:txbx>
                        <w:txbxContent>
                          <w:p w14:paraId="3BFE86FF" w14:textId="01671CCF" w:rsidR="006A2D41" w:rsidRDefault="006A2D41" w:rsidP="006A2D41">
                            <w:pPr>
                              <w:jc w:val="both"/>
                            </w:pPr>
                            <w:r>
                              <w:t xml:space="preserve">Pour la commune, ses citoyens et ses entreprises, pouvoir bénéficier dans le chef du candidat GRD d’un service public de </w:t>
                            </w:r>
                            <w:r w:rsidR="0020412A">
                              <w:t>qualité</w:t>
                            </w:r>
                            <w:r>
                              <w:t xml:space="preserve"> et de </w:t>
                            </w:r>
                            <w:r w:rsidR="0020412A">
                              <w:t>proxim</w:t>
                            </w:r>
                            <w:r>
                              <w:t xml:space="preserve">ité est un grand atout. </w:t>
                            </w:r>
                          </w:p>
                          <w:p w14:paraId="2E8DC1ED" w14:textId="77777777" w:rsidR="006A2D41" w:rsidRDefault="006A2D41" w:rsidP="006A2D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BAEFA" id="Rectangle : coins arrondis 8" o:spid="_x0000_s1028" style="position:absolute;left:0;text-align:left;margin-left:0;margin-top:1pt;width:447.75pt;height:43.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2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" fillcolor="window" strokecolor="#ed7d31" strokeweight="1pt">
                <v:stroke joinstyle="miter"/>
                <v:textbox>
                  <w:txbxContent>
                    <w:p w14:paraId="3BFE86FF" w14:textId="01671CCF" w:rsidR="006A2D41" w:rsidRDefault="006A2D41" w:rsidP="006A2D41">
                      <w:pPr>
                        <w:jc w:val="both"/>
                      </w:pPr>
                      <w:r>
                        <w:t xml:space="preserve">Pour la commune, ses citoyens et ses entreprises, pouvoir bénéficier dans le chef du candidat GRD d’un service public de </w:t>
                      </w:r>
                      <w:r w:rsidR="0020412A">
                        <w:t>qualité</w:t>
                      </w:r>
                      <w:r>
                        <w:t xml:space="preserve"> et de </w:t>
                      </w:r>
                      <w:r w:rsidR="0020412A">
                        <w:t>proxim</w:t>
                      </w:r>
                      <w:r>
                        <w:t xml:space="preserve">ité est un grand atout. </w:t>
                      </w:r>
                    </w:p>
                    <w:p w14:paraId="2E8DC1ED" w14:textId="77777777" w:rsidR="006A2D41" w:rsidRDefault="006A2D41" w:rsidP="006A2D41"/>
                  </w:txbxContent>
                </v:textbox>
                <w10:wrap anchorx="margin"/>
              </v:roundrect>
            </w:pict>
          </mc:Fallback>
        </mc:AlternateContent>
      </w:r>
    </w:p>
    <w:p w14:paraId="127A43F6"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778DEFEF"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1B3A8D2D"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3046B9CF" w14:textId="6E5D4620" w:rsidR="006A2D41" w:rsidRDefault="006A2D41" w:rsidP="006A2D41">
      <w:pPr>
        <w:spacing w:line="256" w:lineRule="auto"/>
        <w:jc w:val="both"/>
        <w:rPr>
          <w:rFonts w:ascii="Calibri" w:eastAsia="Calibri" w:hAnsi="Calibri" w:cs="Times New Roman"/>
          <w:b/>
          <w:bCs/>
          <w:u w:val="single"/>
        </w:rPr>
      </w:pPr>
    </w:p>
    <w:p w14:paraId="533DEB7F" w14:textId="77777777" w:rsidR="009D1947" w:rsidRPr="009D1947" w:rsidRDefault="009D1947" w:rsidP="009D1947">
      <w:pPr>
        <w:numPr>
          <w:ilvl w:val="1"/>
          <w:numId w:val="1"/>
        </w:numPr>
        <w:spacing w:after="0" w:line="256" w:lineRule="auto"/>
        <w:ind w:left="1434" w:hanging="357"/>
        <w:contextualSpacing/>
        <w:jc w:val="both"/>
        <w:rPr>
          <w:rFonts w:ascii="Calibri" w:eastAsia="Calibri" w:hAnsi="Calibri" w:cs="Times New Roman"/>
          <w:b/>
          <w:bCs/>
          <w:color w:val="4472C4" w:themeColor="accent1"/>
          <w:u w:val="single"/>
        </w:rPr>
      </w:pPr>
      <w:r w:rsidRPr="009D1947">
        <w:rPr>
          <w:rFonts w:ascii="Calibri" w:eastAsia="Calibri" w:hAnsi="Calibri" w:cs="Times New Roman"/>
          <w:b/>
          <w:bCs/>
          <w:color w:val="4472C4" w:themeColor="accent1"/>
          <w:u w:val="single"/>
        </w:rPr>
        <w:t>La capacité du candidat à garantir la continuité de ses missions de service public</w:t>
      </w:r>
    </w:p>
    <w:p w14:paraId="45A100C6" w14:textId="77777777" w:rsidR="009D1947" w:rsidRDefault="009D1947" w:rsidP="009D1947">
      <w:pPr>
        <w:spacing w:line="256" w:lineRule="auto"/>
        <w:jc w:val="both"/>
        <w:rPr>
          <w:rFonts w:ascii="Calibri" w:eastAsia="Calibri" w:hAnsi="Calibri" w:cs="Times New Roman"/>
        </w:rPr>
      </w:pPr>
    </w:p>
    <w:p w14:paraId="098051D7" w14:textId="1AD056DC" w:rsidR="009D1947" w:rsidRPr="009D1947" w:rsidRDefault="009D1947" w:rsidP="009D1947">
      <w:pPr>
        <w:spacing w:line="256" w:lineRule="auto"/>
        <w:jc w:val="both"/>
        <w:rPr>
          <w:rFonts w:ascii="Calibri" w:eastAsia="Calibri" w:hAnsi="Calibri" w:cs="Times New Roman"/>
        </w:rPr>
      </w:pPr>
      <w:r w:rsidRPr="009D1947">
        <w:rPr>
          <w:rFonts w:ascii="Calibri" w:eastAsia="Calibri" w:hAnsi="Calibri" w:cs="Times New Roman"/>
        </w:rPr>
        <w:t>Les candidats devront détailler, par tous les moyens utiles, qu’ils disposent de la taille suffisante par rapport à l’ambition dont ils font preuve quant à la procédure de renouvellement. Le rapport taille/ambition devra ainsi permettre au Conseil communal de déterminer si le candidat dispose des capitaux, de l’organisation, des ressources humaines (liste non exhaustive) suffisants pour rencontrer les exigences liées aux marchés communaux ainsi envisagés.</w:t>
      </w:r>
    </w:p>
    <w:p w14:paraId="0B583BA1" w14:textId="77777777" w:rsidR="009D1947" w:rsidRPr="006A2D41" w:rsidRDefault="009D1947" w:rsidP="006A2D41">
      <w:pPr>
        <w:spacing w:line="256" w:lineRule="auto"/>
        <w:jc w:val="both"/>
        <w:rPr>
          <w:rFonts w:ascii="Calibri" w:eastAsia="Calibri" w:hAnsi="Calibri" w:cs="Times New Roman"/>
          <w:b/>
          <w:bCs/>
          <w:u w:val="single"/>
        </w:rPr>
      </w:pPr>
    </w:p>
    <w:p w14:paraId="24531876" w14:textId="77777777" w:rsidR="006A2D41" w:rsidRPr="006A2D41" w:rsidRDefault="006A2D41" w:rsidP="006A2D41">
      <w:pPr>
        <w:numPr>
          <w:ilvl w:val="1"/>
          <w:numId w:val="1"/>
        </w:numPr>
        <w:spacing w:after="0" w:line="256" w:lineRule="auto"/>
        <w:ind w:left="1434" w:hanging="357"/>
        <w:contextualSpacing/>
        <w:jc w:val="both"/>
        <w:rPr>
          <w:rFonts w:ascii="Calibri" w:eastAsia="Calibri" w:hAnsi="Calibri" w:cs="Times New Roman"/>
          <w:b/>
          <w:bCs/>
          <w:color w:val="4472C4" w:themeColor="accent1"/>
          <w:u w:val="single"/>
        </w:rPr>
      </w:pPr>
      <w:r w:rsidRPr="006A2D41">
        <w:rPr>
          <w:rFonts w:ascii="Calibri" w:eastAsia="Calibri" w:hAnsi="Calibri" w:cs="Times New Roman"/>
          <w:b/>
          <w:bCs/>
          <w:color w:val="4472C4" w:themeColor="accent1"/>
          <w:u w:val="single"/>
        </w:rPr>
        <w:t>Digitalisation des services</w:t>
      </w:r>
    </w:p>
    <w:p w14:paraId="22DE2DAD" w14:textId="77777777" w:rsidR="006A2D41" w:rsidRPr="006A2D41" w:rsidRDefault="006A2D41" w:rsidP="006A2D41">
      <w:pPr>
        <w:spacing w:after="0" w:line="256" w:lineRule="auto"/>
        <w:jc w:val="both"/>
        <w:rPr>
          <w:rFonts w:ascii="Calibri" w:eastAsia="Calibri" w:hAnsi="Calibri" w:cs="Times New Roman"/>
          <w:b/>
          <w:bCs/>
          <w:color w:val="4472C4" w:themeColor="accent1"/>
          <w:u w:val="single"/>
        </w:rPr>
      </w:pPr>
    </w:p>
    <w:p w14:paraId="408B1246" w14:textId="13836F36" w:rsid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 xml:space="preserve">Les citoyens et les entreprises doivent également pouvoir accéder de façon digitale aux informations </w:t>
      </w:r>
      <w:r w:rsidR="00504BCE">
        <w:rPr>
          <w:rFonts w:ascii="Calibri" w:eastAsia="Calibri" w:hAnsi="Calibri" w:cs="Times New Roman"/>
        </w:rPr>
        <w:t xml:space="preserve">via un </w:t>
      </w:r>
      <w:r w:rsidR="00504BCE" w:rsidRPr="00504BCE">
        <w:rPr>
          <w:rFonts w:ascii="Calibri" w:eastAsia="Calibri" w:hAnsi="Calibri" w:cs="Times New Roman"/>
          <w:b/>
          <w:bCs/>
        </w:rPr>
        <w:t>espace personnel en ligne</w:t>
      </w:r>
      <w:r w:rsidR="00504BCE">
        <w:rPr>
          <w:rFonts w:ascii="Calibri" w:eastAsia="Calibri" w:hAnsi="Calibri" w:cs="Times New Roman"/>
        </w:rPr>
        <w:t xml:space="preserve"> </w:t>
      </w:r>
      <w:r w:rsidRPr="006A2D41">
        <w:rPr>
          <w:rFonts w:ascii="Calibri" w:eastAsia="Calibri" w:hAnsi="Calibri" w:cs="Times New Roman"/>
        </w:rPr>
        <w:t>et pouvoir consulter leurs données.</w:t>
      </w:r>
    </w:p>
    <w:p w14:paraId="093D1466" w14:textId="49E8999A" w:rsidR="00504BCE" w:rsidRPr="00504BCE" w:rsidRDefault="00504BCE" w:rsidP="00504BCE">
      <w:pPr>
        <w:numPr>
          <w:ilvl w:val="0"/>
          <w:numId w:val="8"/>
        </w:numPr>
        <w:spacing w:before="260" w:after="0" w:line="240" w:lineRule="auto"/>
        <w:ind w:left="1440"/>
        <w:jc w:val="both"/>
        <w:textAlignment w:val="baseline"/>
        <w:rPr>
          <w:rFonts w:eastAsia="Times New Roman" w:cstheme="minorHAnsi"/>
          <w:color w:val="000000"/>
          <w:lang w:eastAsia="fr-BE"/>
        </w:rPr>
      </w:pPr>
      <w:proofErr w:type="gramStart"/>
      <w:r w:rsidRPr="00504BCE">
        <w:rPr>
          <w:rFonts w:eastAsia="Times New Roman" w:cstheme="minorHAnsi"/>
          <w:color w:val="000000"/>
          <w:lang w:eastAsia="fr-BE"/>
        </w:rPr>
        <w:t>suivre</w:t>
      </w:r>
      <w:proofErr w:type="gramEnd"/>
      <w:r w:rsidRPr="00504BCE">
        <w:rPr>
          <w:rFonts w:eastAsia="Times New Roman" w:cstheme="minorHAnsi"/>
          <w:color w:val="000000"/>
          <w:lang w:eastAsia="fr-BE"/>
        </w:rPr>
        <w:t xml:space="preserve"> les points de consommation de l’URD, avec un classement possible par n° de compteur, adresse ou code EAN,...</w:t>
      </w:r>
    </w:p>
    <w:p w14:paraId="074434D8" w14:textId="6527E8BF" w:rsidR="00504BCE" w:rsidRPr="00504BCE" w:rsidRDefault="00504BCE" w:rsidP="00504BCE">
      <w:pPr>
        <w:numPr>
          <w:ilvl w:val="0"/>
          <w:numId w:val="8"/>
        </w:numPr>
        <w:spacing w:after="0" w:line="240" w:lineRule="auto"/>
        <w:ind w:left="1440"/>
        <w:jc w:val="both"/>
        <w:textAlignment w:val="baseline"/>
        <w:rPr>
          <w:rFonts w:eastAsia="Times New Roman" w:cstheme="minorHAnsi"/>
          <w:color w:val="000000"/>
          <w:lang w:eastAsia="fr-BE"/>
        </w:rPr>
      </w:pPr>
      <w:proofErr w:type="gramStart"/>
      <w:r w:rsidRPr="00504BCE">
        <w:rPr>
          <w:rFonts w:eastAsia="Times New Roman" w:cstheme="minorHAnsi"/>
          <w:color w:val="000000"/>
          <w:lang w:eastAsia="fr-BE"/>
        </w:rPr>
        <w:t>modifier</w:t>
      </w:r>
      <w:proofErr w:type="gramEnd"/>
      <w:r w:rsidRPr="00504BCE">
        <w:rPr>
          <w:rFonts w:eastAsia="Times New Roman" w:cstheme="minorHAnsi"/>
          <w:color w:val="000000"/>
          <w:lang w:eastAsia="fr-BE"/>
        </w:rPr>
        <w:t xml:space="preserve"> les données d’un point (adresse, n° de compteur, type de compteur, manuel du compteur (pour les compteurs HT par exemple), </w:t>
      </w:r>
    </w:p>
    <w:p w14:paraId="5EAC0740" w14:textId="2045CB5E" w:rsidR="00504BCE" w:rsidRPr="00504BCE" w:rsidRDefault="00504BCE" w:rsidP="00504BCE">
      <w:pPr>
        <w:numPr>
          <w:ilvl w:val="0"/>
          <w:numId w:val="8"/>
        </w:numPr>
        <w:spacing w:after="0" w:line="240" w:lineRule="auto"/>
        <w:ind w:left="1440"/>
        <w:jc w:val="both"/>
        <w:textAlignment w:val="baseline"/>
        <w:rPr>
          <w:rFonts w:eastAsia="Times New Roman" w:cstheme="minorHAnsi"/>
          <w:color w:val="000000"/>
          <w:lang w:eastAsia="fr-BE"/>
        </w:rPr>
      </w:pPr>
      <w:proofErr w:type="gramStart"/>
      <w:r w:rsidRPr="00504BCE">
        <w:rPr>
          <w:rFonts w:eastAsia="Times New Roman" w:cstheme="minorHAnsi"/>
          <w:color w:val="000000"/>
          <w:lang w:eastAsia="fr-BE"/>
        </w:rPr>
        <w:t>ajouter</w:t>
      </w:r>
      <w:proofErr w:type="gramEnd"/>
      <w:r w:rsidRPr="00504BCE">
        <w:rPr>
          <w:rFonts w:eastAsia="Times New Roman" w:cstheme="minorHAnsi"/>
          <w:color w:val="000000"/>
          <w:lang w:eastAsia="fr-BE"/>
        </w:rPr>
        <w:t xml:space="preserve"> la localisation précise du compteur, l’affectation, des remarques éventuelles,…</w:t>
      </w:r>
    </w:p>
    <w:p w14:paraId="089F18B7" w14:textId="541C0C23" w:rsidR="00504BCE" w:rsidRPr="00504BCE" w:rsidRDefault="00504BCE" w:rsidP="00504BCE">
      <w:pPr>
        <w:numPr>
          <w:ilvl w:val="0"/>
          <w:numId w:val="8"/>
        </w:numPr>
        <w:spacing w:after="0" w:line="240" w:lineRule="auto"/>
        <w:ind w:left="1440"/>
        <w:jc w:val="both"/>
        <w:textAlignment w:val="baseline"/>
        <w:rPr>
          <w:rFonts w:eastAsia="Times New Roman" w:cstheme="minorHAnsi"/>
          <w:color w:val="000000"/>
          <w:lang w:eastAsia="fr-BE"/>
        </w:rPr>
      </w:pPr>
      <w:proofErr w:type="gramStart"/>
      <w:r w:rsidRPr="00504BCE">
        <w:rPr>
          <w:rFonts w:eastAsia="Times New Roman" w:cstheme="minorHAnsi"/>
          <w:color w:val="000000"/>
          <w:lang w:eastAsia="fr-BE"/>
        </w:rPr>
        <w:t>retrouver</w:t>
      </w:r>
      <w:proofErr w:type="gramEnd"/>
      <w:r w:rsidRPr="00504BCE">
        <w:rPr>
          <w:rFonts w:eastAsia="Times New Roman" w:cstheme="minorHAnsi"/>
          <w:color w:val="000000"/>
          <w:lang w:eastAsia="fr-BE"/>
        </w:rPr>
        <w:t xml:space="preserve"> les consommations relevées chaque année depuis 2006 (référence de la Convention des Maires) et de les extraire sous forme de tableau</w:t>
      </w:r>
    </w:p>
    <w:p w14:paraId="5A83DEA0" w14:textId="6D55516D" w:rsidR="00504BCE" w:rsidRPr="00504BCE" w:rsidRDefault="00504BCE" w:rsidP="00504BCE">
      <w:pPr>
        <w:numPr>
          <w:ilvl w:val="0"/>
          <w:numId w:val="8"/>
        </w:numPr>
        <w:spacing w:after="0" w:line="240" w:lineRule="auto"/>
        <w:ind w:left="1440"/>
        <w:jc w:val="both"/>
        <w:textAlignment w:val="baseline"/>
        <w:rPr>
          <w:rFonts w:eastAsia="Times New Roman" w:cstheme="minorHAnsi"/>
          <w:color w:val="000000"/>
          <w:lang w:eastAsia="fr-BE"/>
        </w:rPr>
      </w:pPr>
      <w:proofErr w:type="gramStart"/>
      <w:r w:rsidRPr="00504BCE">
        <w:rPr>
          <w:rFonts w:eastAsia="Times New Roman" w:cstheme="minorHAnsi"/>
          <w:color w:val="000000"/>
          <w:lang w:eastAsia="fr-BE"/>
        </w:rPr>
        <w:t>suivre</w:t>
      </w:r>
      <w:proofErr w:type="gramEnd"/>
      <w:r>
        <w:rPr>
          <w:rFonts w:eastAsia="Times New Roman" w:cstheme="minorHAnsi"/>
          <w:color w:val="000000"/>
          <w:lang w:eastAsia="fr-BE"/>
        </w:rPr>
        <w:t xml:space="preserve"> </w:t>
      </w:r>
      <w:r w:rsidRPr="00504BCE">
        <w:rPr>
          <w:rFonts w:eastAsia="Times New Roman" w:cstheme="minorHAnsi"/>
          <w:color w:val="000000"/>
          <w:lang w:eastAsia="fr-BE"/>
        </w:rPr>
        <w:t>en ligne nos demandes en cours, et dans quel service se trouve le dossier et le numéro de contact du service où se trouve le dossier</w:t>
      </w:r>
    </w:p>
    <w:p w14:paraId="13BB60E2" w14:textId="77777777" w:rsidR="00504BCE" w:rsidRPr="006A2D41" w:rsidRDefault="00504BCE" w:rsidP="006A2D41">
      <w:pPr>
        <w:spacing w:line="256" w:lineRule="auto"/>
        <w:jc w:val="both"/>
        <w:rPr>
          <w:rFonts w:ascii="Calibri" w:eastAsia="Calibri" w:hAnsi="Calibri" w:cs="Times New Roman"/>
        </w:rPr>
      </w:pPr>
    </w:p>
    <w:p w14:paraId="3248EBC3" w14:textId="77777777" w:rsidR="006A2D41" w:rsidRP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Décrivez brièvement les initiatives récentes que vous avez prises et comptez prendre en la matière.</w:t>
      </w:r>
    </w:p>
    <w:p w14:paraId="328953A2"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595A45BE" w14:textId="77777777" w:rsidR="006A2D41" w:rsidRPr="006A2D41" w:rsidRDefault="006A2D41" w:rsidP="006A2D41">
      <w:pPr>
        <w:numPr>
          <w:ilvl w:val="1"/>
          <w:numId w:val="1"/>
        </w:numPr>
        <w:spacing w:after="0" w:line="256" w:lineRule="auto"/>
        <w:ind w:left="1434" w:hanging="357"/>
        <w:contextualSpacing/>
        <w:jc w:val="both"/>
        <w:rPr>
          <w:rFonts w:ascii="Calibri" w:eastAsia="Calibri" w:hAnsi="Calibri" w:cs="Times New Roman"/>
          <w:b/>
          <w:bCs/>
          <w:color w:val="4472C4" w:themeColor="accent1"/>
          <w:u w:val="single"/>
        </w:rPr>
      </w:pPr>
      <w:r w:rsidRPr="006A2D41">
        <w:rPr>
          <w:rFonts w:ascii="Calibri" w:eastAsia="Calibri" w:hAnsi="Calibri" w:cs="Times New Roman"/>
          <w:b/>
          <w:bCs/>
          <w:color w:val="4472C4" w:themeColor="accent1"/>
          <w:u w:val="single"/>
        </w:rPr>
        <w:t>Qualité des services</w:t>
      </w:r>
    </w:p>
    <w:p w14:paraId="77326655" w14:textId="77777777" w:rsidR="006A2D41" w:rsidRPr="006A2D41" w:rsidRDefault="006A2D41" w:rsidP="006A2D41">
      <w:pPr>
        <w:spacing w:after="0" w:line="256" w:lineRule="auto"/>
        <w:jc w:val="both"/>
        <w:rPr>
          <w:rFonts w:ascii="Calibri" w:eastAsia="Calibri" w:hAnsi="Calibri" w:cs="Times New Roman"/>
          <w:b/>
          <w:bCs/>
          <w:color w:val="4472C4" w:themeColor="accent1"/>
          <w:u w:val="single"/>
        </w:rPr>
      </w:pPr>
    </w:p>
    <w:p w14:paraId="638CC2B0" w14:textId="2ED158D1" w:rsid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 xml:space="preserve">Les citoyens et les entreprises ont droit </w:t>
      </w:r>
      <w:r w:rsidR="004D3BB7">
        <w:rPr>
          <w:rFonts w:ascii="Calibri" w:eastAsia="Calibri" w:hAnsi="Calibri" w:cs="Times New Roman"/>
        </w:rPr>
        <w:t xml:space="preserve">de la part du GRD </w:t>
      </w:r>
      <w:r w:rsidRPr="006A2D41">
        <w:rPr>
          <w:rFonts w:ascii="Calibri" w:eastAsia="Calibri" w:hAnsi="Calibri" w:cs="Times New Roman"/>
        </w:rPr>
        <w:t>à des services de qualité</w:t>
      </w:r>
      <w:r w:rsidR="004D3BB7">
        <w:rPr>
          <w:rFonts w:ascii="Calibri" w:eastAsia="Calibri" w:hAnsi="Calibri" w:cs="Times New Roman"/>
        </w:rPr>
        <w:t> : qualité des services d’exploitation et des services de dépannages</w:t>
      </w:r>
    </w:p>
    <w:p w14:paraId="52FD9B4B" w14:textId="77777777" w:rsidR="004D3BB7" w:rsidRPr="004D3BB7" w:rsidRDefault="004D3BB7" w:rsidP="004D3BB7">
      <w:pPr>
        <w:spacing w:line="256" w:lineRule="auto"/>
        <w:jc w:val="both"/>
        <w:rPr>
          <w:rFonts w:ascii="Calibri" w:eastAsia="Calibri" w:hAnsi="Calibri" w:cs="Times New Roman"/>
        </w:rPr>
      </w:pPr>
      <w:r w:rsidRPr="004D3BB7">
        <w:rPr>
          <w:rFonts w:ascii="Calibri" w:eastAsia="Calibri" w:hAnsi="Calibri" w:cs="Times New Roman"/>
        </w:rPr>
        <w:t xml:space="preserve">Les candidats devront détailler la manière avec laquelle leurs services sont organisés et ce, en reprenant les critères suivants (liste exhaustive) conformes aux statistiques remises annuellement à la </w:t>
      </w:r>
      <w:proofErr w:type="spellStart"/>
      <w:r w:rsidRPr="004D3BB7">
        <w:rPr>
          <w:rFonts w:ascii="Calibri" w:eastAsia="Calibri" w:hAnsi="Calibri" w:cs="Times New Roman"/>
        </w:rPr>
        <w:t>CWaPE</w:t>
      </w:r>
      <w:proofErr w:type="spellEnd"/>
      <w:r w:rsidRPr="004D3BB7">
        <w:rPr>
          <w:rFonts w:ascii="Calibri" w:eastAsia="Calibri" w:hAnsi="Calibri" w:cs="Times New Roman"/>
        </w:rPr>
        <w:t>.</w:t>
      </w:r>
    </w:p>
    <w:p w14:paraId="663B5D3E"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 xml:space="preserve">A. </w:t>
      </w:r>
      <w:r w:rsidRPr="004D3BB7">
        <w:rPr>
          <w:rFonts w:eastAsia="Times New Roman" w:cstheme="minorHAnsi"/>
          <w:color w:val="000000"/>
          <w:u w:val="single"/>
          <w:lang w:eastAsia="fr-BE"/>
        </w:rPr>
        <w:t>Durée des indisponibilités en Moyenne Tension (Heure/Minute/seconde)</w:t>
      </w:r>
      <w:r w:rsidRPr="004D3BB7">
        <w:rPr>
          <w:rFonts w:eastAsia="Times New Roman" w:cstheme="minorHAnsi"/>
          <w:color w:val="000000"/>
          <w:lang w:eastAsia="fr-BE"/>
        </w:rPr>
        <w:t xml:space="preserve"> :</w:t>
      </w:r>
    </w:p>
    <w:p w14:paraId="0E74FAEE"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 La durée des interruptions d’accès non planifiées et ce, en 2017, 2018 et 2019.</w:t>
      </w:r>
    </w:p>
    <w:p w14:paraId="38CB230D" w14:textId="77777777" w:rsidR="004D3BB7" w:rsidRPr="006355BE" w:rsidRDefault="004D3BB7" w:rsidP="004D3BB7">
      <w:pPr>
        <w:spacing w:after="0" w:line="240" w:lineRule="auto"/>
        <w:rPr>
          <w:rFonts w:ascii="Times New Roman" w:eastAsia="Times New Roman" w:hAnsi="Times New Roman" w:cs="Times New Roman"/>
          <w:sz w:val="24"/>
          <w:szCs w:val="24"/>
          <w:lang w:eastAsia="fr-BE"/>
        </w:rPr>
      </w:pPr>
    </w:p>
    <w:p w14:paraId="640C721A"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lastRenderedPageBreak/>
        <w:t xml:space="preserve">B. </w:t>
      </w:r>
      <w:r w:rsidRPr="004D3BB7">
        <w:rPr>
          <w:rFonts w:eastAsia="Times New Roman" w:cstheme="minorHAnsi"/>
          <w:color w:val="000000"/>
          <w:u w:val="single"/>
          <w:lang w:eastAsia="fr-BE"/>
        </w:rPr>
        <w:t>Interruptions d’accès en basse tension</w:t>
      </w:r>
      <w:r w:rsidRPr="004D3BB7">
        <w:rPr>
          <w:rFonts w:eastAsia="Times New Roman" w:cstheme="minorHAnsi"/>
          <w:color w:val="000000"/>
          <w:lang w:eastAsia="fr-BE"/>
        </w:rPr>
        <w:t xml:space="preserve"> :</w:t>
      </w:r>
    </w:p>
    <w:p w14:paraId="4C823B1E"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 Nombre de pannes par 1000 points de fourniture BT (codes EAN).</w:t>
      </w:r>
    </w:p>
    <w:p w14:paraId="3B22C86A"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ii. Nombre de pannes par 100 km de réseau (basse tension) en 2017, 2018 et 2019.</w:t>
      </w:r>
    </w:p>
    <w:p w14:paraId="406F4E2B" w14:textId="77777777" w:rsidR="004D3BB7" w:rsidRPr="004D3BB7" w:rsidRDefault="004D3BB7" w:rsidP="004D3BB7">
      <w:pPr>
        <w:spacing w:after="0" w:line="240" w:lineRule="auto"/>
        <w:rPr>
          <w:rFonts w:eastAsia="Times New Roman" w:cstheme="minorHAnsi"/>
          <w:sz w:val="24"/>
          <w:szCs w:val="24"/>
          <w:lang w:eastAsia="fr-BE"/>
        </w:rPr>
      </w:pPr>
    </w:p>
    <w:p w14:paraId="0916A24A"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 xml:space="preserve">C. </w:t>
      </w:r>
      <w:r w:rsidRPr="004D3BB7">
        <w:rPr>
          <w:rFonts w:eastAsia="Times New Roman" w:cstheme="minorHAnsi"/>
          <w:color w:val="000000"/>
          <w:u w:val="single"/>
          <w:lang w:eastAsia="fr-BE"/>
        </w:rPr>
        <w:t>Plaintes relatives à la forme d’onde de tension en basse tension</w:t>
      </w:r>
      <w:r w:rsidRPr="004D3BB7">
        <w:rPr>
          <w:rFonts w:eastAsia="Times New Roman" w:cstheme="minorHAnsi"/>
          <w:color w:val="000000"/>
          <w:lang w:eastAsia="fr-BE"/>
        </w:rPr>
        <w:t xml:space="preserve"> :</w:t>
      </w:r>
    </w:p>
    <w:p w14:paraId="445C9C1E"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 Nombre total de plaintes reçues par 1000 points de fourniture BT (codes EAN) en 2017, 2018 et 2019.</w:t>
      </w:r>
    </w:p>
    <w:p w14:paraId="2FDDFD52" w14:textId="77777777" w:rsidR="004D3BB7" w:rsidRPr="004D3BB7" w:rsidRDefault="004D3BB7" w:rsidP="004D3BB7">
      <w:pPr>
        <w:spacing w:after="0" w:line="240" w:lineRule="auto"/>
        <w:rPr>
          <w:rFonts w:eastAsia="Times New Roman" w:cstheme="minorHAnsi"/>
          <w:sz w:val="24"/>
          <w:szCs w:val="24"/>
          <w:lang w:eastAsia="fr-BE"/>
        </w:rPr>
      </w:pPr>
    </w:p>
    <w:p w14:paraId="724C0522"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 xml:space="preserve">D. </w:t>
      </w:r>
      <w:r w:rsidRPr="004D3BB7">
        <w:rPr>
          <w:rFonts w:eastAsia="Times New Roman" w:cstheme="minorHAnsi"/>
          <w:color w:val="000000"/>
          <w:u w:val="single"/>
          <w:lang w:eastAsia="fr-BE"/>
        </w:rPr>
        <w:t>Offres et raccordements</w:t>
      </w:r>
      <w:r w:rsidRPr="004D3BB7">
        <w:rPr>
          <w:rFonts w:eastAsia="Times New Roman" w:cstheme="minorHAnsi"/>
          <w:color w:val="000000"/>
          <w:lang w:eastAsia="fr-BE"/>
        </w:rPr>
        <w:t xml:space="preserve"> :</w:t>
      </w:r>
    </w:p>
    <w:p w14:paraId="696DDB17"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 Nombre total d’offres (basse tension)</w:t>
      </w:r>
    </w:p>
    <w:p w14:paraId="367AF75E"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ii. Pourcentage des dossiers avec dépassement de délai ayant pour cause le GRD et ce, pour 2017, 2018 et 2019.</w:t>
      </w:r>
    </w:p>
    <w:p w14:paraId="2670AE36"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iii. Nombre total de raccordements annuels BT réalisés en 2017, 2018, 2019</w:t>
      </w:r>
    </w:p>
    <w:p w14:paraId="4BD81805"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iv. Pourcentage des dossiers avec dépassement de délai ayant pour cause le GRD et ce, pour 2017, 2018 et 2019.</w:t>
      </w:r>
    </w:p>
    <w:p w14:paraId="3C1E5FD1" w14:textId="77777777" w:rsidR="004D3BB7" w:rsidRPr="004D3BB7" w:rsidRDefault="004D3BB7" w:rsidP="004D3BB7">
      <w:pPr>
        <w:spacing w:after="0" w:line="240" w:lineRule="auto"/>
        <w:rPr>
          <w:rFonts w:eastAsia="Times New Roman" w:cstheme="minorHAnsi"/>
          <w:sz w:val="24"/>
          <w:szCs w:val="24"/>
          <w:lang w:eastAsia="fr-BE"/>
        </w:rPr>
      </w:pPr>
    </w:p>
    <w:p w14:paraId="744EB342"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 xml:space="preserve">E. </w:t>
      </w:r>
      <w:r w:rsidRPr="004D3BB7">
        <w:rPr>
          <w:rFonts w:eastAsia="Times New Roman" w:cstheme="minorHAnsi"/>
          <w:color w:val="000000"/>
          <w:u w:val="single"/>
          <w:lang w:eastAsia="fr-BE"/>
        </w:rPr>
        <w:t>Coupures non programmées</w:t>
      </w:r>
      <w:r w:rsidRPr="004D3BB7">
        <w:rPr>
          <w:rFonts w:eastAsia="Times New Roman" w:cstheme="minorHAnsi"/>
          <w:color w:val="000000"/>
          <w:lang w:eastAsia="fr-BE"/>
        </w:rPr>
        <w:t xml:space="preserve"> :</w:t>
      </w:r>
    </w:p>
    <w:p w14:paraId="0A3FDF1E"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 Nombre total de coupures annuelles non programmées par 1000 EAN (BT et MT) et ce, pour 2017, 2018 et 2019.</w:t>
      </w:r>
    </w:p>
    <w:p w14:paraId="4F5F4A5A"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ii. Temps moyen d’arrivée sur site et ce, pour 2017, 2018 et 2019</w:t>
      </w:r>
    </w:p>
    <w:p w14:paraId="15B45157"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iii. Temps d’intervention moyen et ce, pour 2017, 2018, et 2019</w:t>
      </w:r>
    </w:p>
    <w:p w14:paraId="41A126A2" w14:textId="77777777" w:rsidR="004D3BB7" w:rsidRPr="004D3BB7" w:rsidRDefault="004D3BB7" w:rsidP="004D3BB7">
      <w:pPr>
        <w:spacing w:after="0" w:line="240" w:lineRule="auto"/>
        <w:rPr>
          <w:rFonts w:eastAsia="Times New Roman" w:cstheme="minorHAnsi"/>
          <w:sz w:val="24"/>
          <w:szCs w:val="24"/>
          <w:lang w:eastAsia="fr-BE"/>
        </w:rPr>
      </w:pPr>
    </w:p>
    <w:p w14:paraId="5E53FF40"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 xml:space="preserve">F. </w:t>
      </w:r>
      <w:r w:rsidRPr="004D3BB7">
        <w:rPr>
          <w:rFonts w:eastAsia="Times New Roman" w:cstheme="minorHAnsi"/>
          <w:color w:val="000000"/>
          <w:u w:val="single"/>
          <w:lang w:eastAsia="fr-BE"/>
        </w:rPr>
        <w:t>Éclairage public (outre la rénovation décrite dans la stratégie)</w:t>
      </w:r>
      <w:r w:rsidRPr="004D3BB7">
        <w:rPr>
          <w:rFonts w:eastAsia="Times New Roman" w:cstheme="minorHAnsi"/>
          <w:color w:val="000000"/>
          <w:lang w:eastAsia="fr-BE"/>
        </w:rPr>
        <w:t xml:space="preserve"> :</w:t>
      </w:r>
    </w:p>
    <w:p w14:paraId="57741164" w14:textId="62909020" w:rsidR="004D3BB7" w:rsidRPr="004D3BB7" w:rsidRDefault="004D3BB7" w:rsidP="004D3BB7">
      <w:pPr>
        <w:spacing w:before="260" w:after="0" w:line="240" w:lineRule="auto"/>
        <w:ind w:left="720"/>
        <w:jc w:val="both"/>
        <w:rPr>
          <w:rFonts w:eastAsia="Times New Roman" w:cstheme="minorHAnsi"/>
          <w:color w:val="000000"/>
          <w:lang w:eastAsia="fr-BE"/>
        </w:rPr>
      </w:pPr>
      <w:r w:rsidRPr="004D3BB7">
        <w:rPr>
          <w:rFonts w:eastAsia="Times New Roman" w:cstheme="minorHAnsi"/>
          <w:color w:val="000000"/>
          <w:lang w:eastAsia="fr-BE"/>
        </w:rPr>
        <w:t>i. Inventaire géolocalisé vivant du parc communal d’éclairage public accessible en ligne</w:t>
      </w:r>
      <w:r w:rsidRPr="004D3BB7">
        <w:rPr>
          <w:rFonts w:eastAsia="Times New Roman" w:cstheme="minorHAnsi"/>
          <w:color w:val="000000"/>
          <w:lang w:eastAsia="fr-BE"/>
        </w:rPr>
        <w:tab/>
      </w:r>
    </w:p>
    <w:p w14:paraId="1ACC0CB0"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ii. Cartographie interactive de l’éclairage communal à l’échelle du territoire communal</w:t>
      </w:r>
    </w:p>
    <w:p w14:paraId="210F69DF" w14:textId="77777777" w:rsidR="004D3BB7" w:rsidRPr="004D3BB7" w:rsidRDefault="004D3BB7" w:rsidP="004D3BB7">
      <w:pPr>
        <w:spacing w:after="0" w:line="240" w:lineRule="auto"/>
        <w:rPr>
          <w:rFonts w:eastAsia="Times New Roman" w:cstheme="minorHAnsi"/>
          <w:sz w:val="24"/>
          <w:szCs w:val="24"/>
          <w:lang w:eastAsia="fr-BE"/>
        </w:rPr>
      </w:pPr>
    </w:p>
    <w:p w14:paraId="675D50BF"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 xml:space="preserve">G. </w:t>
      </w:r>
      <w:r w:rsidRPr="004D3BB7">
        <w:rPr>
          <w:rFonts w:eastAsia="Times New Roman" w:cstheme="minorHAnsi"/>
          <w:color w:val="000000"/>
          <w:u w:val="single"/>
          <w:lang w:eastAsia="fr-BE"/>
        </w:rPr>
        <w:t>Énergie renouvelable (outre la rénovation la stratégie)</w:t>
      </w:r>
      <w:r w:rsidRPr="004D3BB7">
        <w:rPr>
          <w:rFonts w:eastAsia="Times New Roman" w:cstheme="minorHAnsi"/>
          <w:color w:val="000000"/>
          <w:lang w:eastAsia="fr-BE"/>
        </w:rPr>
        <w:t xml:space="preserve"> :</w:t>
      </w:r>
    </w:p>
    <w:p w14:paraId="01EFAD32"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i. Mise à disposition d’un inventaire des ressources en énergie renouvelables sur le territoire communal (Type, puissance crête et année de mise en service)</w:t>
      </w:r>
    </w:p>
    <w:p w14:paraId="62D409AA" w14:textId="77777777" w:rsidR="004D3BB7" w:rsidRPr="004D3BB7" w:rsidRDefault="004D3BB7" w:rsidP="004D3BB7">
      <w:pPr>
        <w:spacing w:before="260" w:after="0" w:line="240" w:lineRule="auto"/>
        <w:ind w:left="720"/>
        <w:jc w:val="both"/>
        <w:rPr>
          <w:rFonts w:eastAsia="Times New Roman" w:cstheme="minorHAnsi"/>
          <w:sz w:val="24"/>
          <w:szCs w:val="24"/>
          <w:lang w:eastAsia="fr-BE"/>
        </w:rPr>
      </w:pPr>
      <w:r w:rsidRPr="004D3BB7">
        <w:rPr>
          <w:rFonts w:eastAsia="Times New Roman" w:cstheme="minorHAnsi"/>
          <w:color w:val="000000"/>
          <w:lang w:eastAsia="fr-BE"/>
        </w:rPr>
        <w:t xml:space="preserve">H. </w:t>
      </w:r>
      <w:r w:rsidRPr="004D3BB7">
        <w:rPr>
          <w:rFonts w:eastAsia="Times New Roman" w:cstheme="minorHAnsi"/>
          <w:color w:val="000000"/>
          <w:u w:val="single"/>
          <w:lang w:eastAsia="fr-BE"/>
        </w:rPr>
        <w:t>Mesures réalisées et planifiées en vue de rendre le réseau de distribution plus performant,</w:t>
      </w:r>
    </w:p>
    <w:p w14:paraId="532E22A5" w14:textId="0B755C6E" w:rsidR="004D3BB7" w:rsidRDefault="004D3BB7" w:rsidP="006A2D41">
      <w:pPr>
        <w:spacing w:line="256" w:lineRule="auto"/>
        <w:jc w:val="both"/>
        <w:rPr>
          <w:rFonts w:ascii="Calibri" w:eastAsia="Calibri" w:hAnsi="Calibri" w:cs="Times New Roman"/>
        </w:rPr>
      </w:pPr>
    </w:p>
    <w:p w14:paraId="0F146D08" w14:textId="24D36081" w:rsidR="00A97126" w:rsidRPr="004D3BB7" w:rsidRDefault="00A97126" w:rsidP="00A97126">
      <w:pPr>
        <w:spacing w:before="260" w:after="0" w:line="240" w:lineRule="auto"/>
        <w:ind w:left="720"/>
        <w:jc w:val="both"/>
        <w:rPr>
          <w:rFonts w:eastAsia="Times New Roman" w:cstheme="minorHAnsi"/>
          <w:sz w:val="24"/>
          <w:szCs w:val="24"/>
          <w:lang w:eastAsia="fr-BE"/>
        </w:rPr>
      </w:pPr>
      <w:r>
        <w:rPr>
          <w:rFonts w:eastAsia="Times New Roman" w:cstheme="minorHAnsi"/>
          <w:color w:val="000000"/>
          <w:lang w:eastAsia="fr-BE"/>
        </w:rPr>
        <w:t>I</w:t>
      </w:r>
      <w:r w:rsidRPr="004D3BB7">
        <w:rPr>
          <w:rFonts w:eastAsia="Times New Roman" w:cstheme="minorHAnsi"/>
          <w:color w:val="000000"/>
          <w:lang w:eastAsia="fr-BE"/>
        </w:rPr>
        <w:t xml:space="preserve">. </w:t>
      </w:r>
      <w:r>
        <w:rPr>
          <w:rFonts w:eastAsia="Times New Roman" w:cstheme="minorHAnsi"/>
          <w:color w:val="000000"/>
          <w:u w:val="single"/>
          <w:lang w:eastAsia="fr-BE"/>
        </w:rPr>
        <w:t>Nombre d’accidents sur le réseau de la Ville de Spa</w:t>
      </w:r>
    </w:p>
    <w:p w14:paraId="253CB096" w14:textId="6F951117" w:rsidR="00A97126" w:rsidRPr="006A2D41" w:rsidRDefault="00A97126" w:rsidP="006A2D41">
      <w:pPr>
        <w:spacing w:line="256" w:lineRule="auto"/>
        <w:jc w:val="both"/>
        <w:rPr>
          <w:rFonts w:ascii="Calibri" w:eastAsia="Calibri" w:hAnsi="Calibri" w:cs="Times New Roman"/>
        </w:rPr>
      </w:pPr>
      <w:r>
        <w:rPr>
          <w:rFonts w:ascii="Calibri" w:eastAsia="Calibri" w:hAnsi="Calibri" w:cs="Times New Roman"/>
        </w:rPr>
        <w:lastRenderedPageBreak/>
        <w:tab/>
        <w:t>Mis en comparaison avec les chiffres provinciaux et régionaux</w:t>
      </w:r>
    </w:p>
    <w:p w14:paraId="329157CB" w14:textId="294DA4D0" w:rsidR="00645329" w:rsidRPr="00D51785" w:rsidRDefault="00645329" w:rsidP="006A2D41">
      <w:pPr>
        <w:spacing w:line="256" w:lineRule="auto"/>
        <w:jc w:val="both"/>
        <w:rPr>
          <w:rFonts w:ascii="Calibri" w:eastAsia="Calibri" w:hAnsi="Calibri" w:cs="Times New Roman"/>
        </w:rPr>
      </w:pPr>
      <w:r w:rsidRPr="00283DBA">
        <w:rPr>
          <w:rFonts w:ascii="Calibri" w:eastAsia="Calibri" w:hAnsi="Calibri" w:cs="Times New Roman"/>
        </w:rPr>
        <w:t xml:space="preserve">Veuillez </w:t>
      </w:r>
      <w:r>
        <w:rPr>
          <w:rFonts w:ascii="Calibri" w:eastAsia="Calibri" w:hAnsi="Calibri" w:cs="Times New Roman"/>
        </w:rPr>
        <w:t>décrire les moyens mis en œuvre pour assurer la qualité et la sécurité de l’approvisionnement sur vos réseaux</w:t>
      </w:r>
      <w:r w:rsidRPr="00283DBA">
        <w:rPr>
          <w:rFonts w:ascii="Calibri" w:eastAsia="Calibri" w:hAnsi="Calibri" w:cs="Times New Roman"/>
        </w:rPr>
        <w:t>.</w:t>
      </w:r>
    </w:p>
    <w:p w14:paraId="202E0D7B" w14:textId="77777777" w:rsidR="006A2D41" w:rsidRPr="006A2D41" w:rsidRDefault="006A2D41" w:rsidP="006A2D41">
      <w:pPr>
        <w:spacing w:line="256" w:lineRule="auto"/>
        <w:ind w:left="720"/>
        <w:contextualSpacing/>
        <w:jc w:val="both"/>
        <w:rPr>
          <w:rFonts w:ascii="Calibri" w:eastAsia="Calibri" w:hAnsi="Calibri" w:cs="Times New Roman"/>
          <w:b/>
          <w:bCs/>
          <w:u w:val="single"/>
        </w:rPr>
      </w:pPr>
    </w:p>
    <w:p w14:paraId="21C7EE31" w14:textId="77777777" w:rsidR="006A2D41" w:rsidRPr="006A2D41" w:rsidRDefault="006A2D41" w:rsidP="006A2D41">
      <w:pPr>
        <w:numPr>
          <w:ilvl w:val="1"/>
          <w:numId w:val="1"/>
        </w:numPr>
        <w:spacing w:after="0" w:line="256" w:lineRule="auto"/>
        <w:ind w:left="1434" w:hanging="357"/>
        <w:contextualSpacing/>
        <w:jc w:val="both"/>
        <w:rPr>
          <w:rFonts w:ascii="Calibri" w:eastAsia="Calibri" w:hAnsi="Calibri" w:cs="Times New Roman"/>
          <w:b/>
          <w:bCs/>
          <w:color w:val="4472C4" w:themeColor="accent1"/>
          <w:u w:val="single"/>
        </w:rPr>
      </w:pPr>
      <w:bookmarkStart w:id="6" w:name="_Hlk73460140"/>
      <w:r w:rsidRPr="006A2D41">
        <w:rPr>
          <w:rFonts w:ascii="Calibri" w:eastAsia="Calibri" w:hAnsi="Calibri" w:cs="Times New Roman"/>
          <w:b/>
          <w:bCs/>
          <w:color w:val="4472C4" w:themeColor="accent1"/>
          <w:u w:val="single"/>
        </w:rPr>
        <w:t>Lutte contre la précarité énergétique</w:t>
      </w:r>
    </w:p>
    <w:bookmarkEnd w:id="6"/>
    <w:p w14:paraId="0E09A4B9" w14:textId="77777777" w:rsidR="006A2D41" w:rsidRPr="006A2D41" w:rsidRDefault="006A2D41" w:rsidP="006A2D41">
      <w:pPr>
        <w:spacing w:after="0" w:line="256" w:lineRule="auto"/>
        <w:jc w:val="both"/>
        <w:rPr>
          <w:rFonts w:ascii="Calibri" w:eastAsia="Calibri" w:hAnsi="Calibri" w:cs="Times New Roman"/>
          <w:b/>
          <w:bCs/>
          <w:color w:val="4472C4" w:themeColor="accent1"/>
          <w:u w:val="single"/>
        </w:rPr>
      </w:pPr>
    </w:p>
    <w:p w14:paraId="359F2B9C" w14:textId="59B847A0" w:rsidR="005364CA" w:rsidRDefault="006A2D41" w:rsidP="006A2D41">
      <w:pPr>
        <w:spacing w:line="256" w:lineRule="auto"/>
        <w:jc w:val="both"/>
        <w:rPr>
          <w:rFonts w:ascii="Calibri" w:eastAsia="Calibri" w:hAnsi="Calibri" w:cs="Times New Roman"/>
        </w:rPr>
      </w:pPr>
      <w:r w:rsidRPr="006A2D41">
        <w:rPr>
          <w:rFonts w:ascii="Calibri" w:eastAsia="Calibri" w:hAnsi="Calibri" w:cs="Times New Roman"/>
        </w:rPr>
        <w:t xml:space="preserve">Une partie importante de la population, confrontée à la précarité énergétique, éprouve des difficultés à payer sa facture d’électricité. </w:t>
      </w:r>
      <w:r w:rsidR="005364CA">
        <w:rPr>
          <w:rFonts w:ascii="Calibri" w:eastAsia="Calibri" w:hAnsi="Calibri" w:cs="Times New Roman"/>
        </w:rPr>
        <w:t>C</w:t>
      </w:r>
      <w:r w:rsidR="005364CA" w:rsidRPr="000F2EEA">
        <w:rPr>
          <w:rFonts w:ascii="Calibri" w:eastAsia="Calibri" w:hAnsi="Calibri" w:cs="Times New Roman"/>
        </w:rPr>
        <w:t>e poids est particulièrement lourd pour les personnes isolées et les familles monoparentales, ainsi que</w:t>
      </w:r>
      <w:r w:rsidR="005364CA">
        <w:rPr>
          <w:rFonts w:ascii="Calibri" w:eastAsia="Calibri" w:hAnsi="Calibri" w:cs="Times New Roman"/>
        </w:rPr>
        <w:t xml:space="preserve"> </w:t>
      </w:r>
      <w:r w:rsidR="005364CA" w:rsidRPr="000F2EEA">
        <w:rPr>
          <w:rFonts w:ascii="Calibri" w:eastAsia="Calibri" w:hAnsi="Calibri" w:cs="Times New Roman"/>
        </w:rPr>
        <w:t>pour les plus bas revenus.</w:t>
      </w:r>
    </w:p>
    <w:p w14:paraId="2300F54C" w14:textId="22B8931C" w:rsidR="006A2D41" w:rsidRDefault="006A2D41" w:rsidP="006A2D41">
      <w:pPr>
        <w:spacing w:line="256" w:lineRule="auto"/>
        <w:jc w:val="both"/>
        <w:rPr>
          <w:rFonts w:ascii="Calibri" w:eastAsia="Calibri" w:hAnsi="Calibri" w:cs="Times New Roman"/>
        </w:rPr>
      </w:pPr>
      <w:r w:rsidRPr="006A2D41">
        <w:rPr>
          <w:rFonts w:ascii="Calibri" w:eastAsia="Calibri" w:hAnsi="Calibri" w:cs="Times New Roman"/>
        </w:rPr>
        <w:t xml:space="preserve">Les GRD se sont </w:t>
      </w:r>
      <w:proofErr w:type="gramStart"/>
      <w:r w:rsidRPr="006A2D41">
        <w:rPr>
          <w:rFonts w:ascii="Calibri" w:eastAsia="Calibri" w:hAnsi="Calibri" w:cs="Times New Roman"/>
        </w:rPr>
        <w:t>vus</w:t>
      </w:r>
      <w:proofErr w:type="gramEnd"/>
      <w:r w:rsidRPr="006A2D41">
        <w:rPr>
          <w:rFonts w:ascii="Calibri" w:eastAsia="Calibri" w:hAnsi="Calibri" w:cs="Times New Roman"/>
        </w:rPr>
        <w:t xml:space="preserve"> confiés par la Région wallonne diverses obligations de services publics sociales dont le placement d’un compteur à budget auprès des clients en défaut de paiement pour éviter l’accroissement de la dette énergétique. Pourriez-vous nous indiquer le nombre de compteurs avec fonction de prépaiement activée, durant les trois années du dépôt de candidature ?</w:t>
      </w:r>
    </w:p>
    <w:p w14:paraId="62243685" w14:textId="03C9403B" w:rsidR="005364CA" w:rsidRDefault="005364CA" w:rsidP="005364CA">
      <w:pPr>
        <w:spacing w:line="256" w:lineRule="auto"/>
        <w:jc w:val="both"/>
        <w:rPr>
          <w:rFonts w:ascii="Calibri" w:eastAsia="Calibri" w:hAnsi="Calibri" w:cs="Times New Roman"/>
        </w:rPr>
      </w:pPr>
      <w:r w:rsidRPr="00283DBA">
        <w:rPr>
          <w:rFonts w:ascii="Calibri" w:eastAsia="Calibri" w:hAnsi="Calibri" w:cs="Times New Roman"/>
        </w:rPr>
        <w:t>Pourriez-vous nous indiquer le nombre de</w:t>
      </w:r>
      <w:r>
        <w:rPr>
          <w:rFonts w:ascii="Calibri" w:eastAsia="Calibri" w:hAnsi="Calibri" w:cs="Times New Roman"/>
        </w:rPr>
        <w:t xml:space="preserve"> ménages qui bénéficient du</w:t>
      </w:r>
      <w:r w:rsidRPr="00283DBA">
        <w:rPr>
          <w:rFonts w:ascii="Calibri" w:eastAsia="Calibri" w:hAnsi="Calibri" w:cs="Times New Roman"/>
        </w:rPr>
        <w:t xml:space="preserve"> </w:t>
      </w:r>
      <w:r w:rsidRPr="000F2EEA">
        <w:rPr>
          <w:rFonts w:ascii="Calibri" w:eastAsia="Calibri" w:hAnsi="Calibri" w:cs="Times New Roman"/>
        </w:rPr>
        <w:t xml:space="preserve">statut de client protégé conjoncturel en </w:t>
      </w:r>
      <w:r>
        <w:rPr>
          <w:rFonts w:ascii="Calibri" w:eastAsia="Calibri" w:hAnsi="Calibri" w:cs="Times New Roman"/>
        </w:rPr>
        <w:t>électricité.</w:t>
      </w:r>
    </w:p>
    <w:p w14:paraId="224C75F8" w14:textId="77777777" w:rsidR="005364CA" w:rsidRPr="00283DBA" w:rsidRDefault="005364CA" w:rsidP="005364CA">
      <w:pPr>
        <w:spacing w:line="256" w:lineRule="auto"/>
        <w:jc w:val="both"/>
        <w:rPr>
          <w:rFonts w:ascii="Calibri" w:eastAsia="Calibri" w:hAnsi="Calibri" w:cs="Times New Roman"/>
        </w:rPr>
      </w:pPr>
      <w:r w:rsidRPr="00283DBA">
        <w:rPr>
          <w:rFonts w:ascii="Calibri" w:eastAsia="Calibri" w:hAnsi="Calibri" w:cs="Times New Roman"/>
        </w:rPr>
        <w:t xml:space="preserve">Veuillez </w:t>
      </w:r>
      <w:r>
        <w:rPr>
          <w:rFonts w:ascii="Calibri" w:eastAsia="Calibri" w:hAnsi="Calibri" w:cs="Times New Roman"/>
        </w:rPr>
        <w:t>décrire les mesures concrètes mise en œuvre par votre société pour améliorer la situation des personnes en situation de précarité.</w:t>
      </w:r>
    </w:p>
    <w:p w14:paraId="76CF1EE7" w14:textId="77777777" w:rsidR="006A2D41" w:rsidRPr="006A2D41" w:rsidRDefault="006A2D41" w:rsidP="006A2D41">
      <w:pPr>
        <w:spacing w:line="256" w:lineRule="auto"/>
        <w:jc w:val="both"/>
        <w:rPr>
          <w:rFonts w:ascii="Calibri" w:eastAsia="Calibri" w:hAnsi="Calibri" w:cs="Times New Roman"/>
        </w:rPr>
      </w:pPr>
    </w:p>
    <w:p w14:paraId="02E169E6" w14:textId="58241164" w:rsidR="006A2D41" w:rsidRPr="00655DB5" w:rsidRDefault="006A2D41" w:rsidP="00655DB5">
      <w:pPr>
        <w:pStyle w:val="Paragraphedeliste"/>
        <w:numPr>
          <w:ilvl w:val="1"/>
          <w:numId w:val="1"/>
        </w:numPr>
        <w:spacing w:after="0" w:line="256" w:lineRule="auto"/>
        <w:jc w:val="both"/>
        <w:rPr>
          <w:rFonts w:ascii="Calibri" w:eastAsia="Calibri" w:hAnsi="Calibri" w:cs="Times New Roman"/>
          <w:b/>
          <w:bCs/>
          <w:color w:val="4472C4" w:themeColor="accent1"/>
          <w:u w:val="single"/>
        </w:rPr>
      </w:pPr>
      <w:bookmarkStart w:id="7" w:name="_Hlk73460529"/>
      <w:r w:rsidRPr="00655DB5">
        <w:rPr>
          <w:rFonts w:ascii="Calibri" w:eastAsia="Calibri" w:hAnsi="Calibri" w:cs="Times New Roman"/>
          <w:b/>
          <w:bCs/>
          <w:color w:val="4472C4" w:themeColor="accent1"/>
          <w:u w:val="single"/>
        </w:rPr>
        <w:t>Implantations géographiques</w:t>
      </w:r>
      <w:r w:rsidR="00AB0E1E">
        <w:rPr>
          <w:rFonts w:ascii="Calibri" w:eastAsia="Calibri" w:hAnsi="Calibri" w:cs="Times New Roman"/>
          <w:b/>
          <w:bCs/>
          <w:color w:val="4472C4" w:themeColor="accent1"/>
          <w:u w:val="single"/>
        </w:rPr>
        <w:t xml:space="preserve">, </w:t>
      </w:r>
      <w:r w:rsidRPr="00655DB5">
        <w:rPr>
          <w:rFonts w:ascii="Calibri" w:eastAsia="Calibri" w:hAnsi="Calibri" w:cs="Times New Roman"/>
          <w:b/>
          <w:bCs/>
          <w:color w:val="4472C4" w:themeColor="accent1"/>
          <w:u w:val="single"/>
        </w:rPr>
        <w:t>maillage du territoire pour les interventions</w:t>
      </w:r>
      <w:r w:rsidR="00AB0E1E">
        <w:rPr>
          <w:rFonts w:ascii="Calibri" w:eastAsia="Calibri" w:hAnsi="Calibri" w:cs="Times New Roman"/>
          <w:b/>
          <w:bCs/>
          <w:color w:val="4472C4" w:themeColor="accent1"/>
          <w:u w:val="single"/>
        </w:rPr>
        <w:t xml:space="preserve"> et réseau enterré</w:t>
      </w:r>
      <w:r w:rsidRPr="00655DB5">
        <w:rPr>
          <w:rFonts w:ascii="Calibri" w:eastAsia="Calibri" w:hAnsi="Calibri" w:cs="Times New Roman"/>
          <w:b/>
          <w:bCs/>
          <w:color w:val="4472C4" w:themeColor="accent1"/>
          <w:u w:val="single"/>
        </w:rPr>
        <w:t xml:space="preserve"> </w:t>
      </w:r>
    </w:p>
    <w:p w14:paraId="1CA85846" w14:textId="77777777" w:rsidR="006A2D41" w:rsidRPr="006A2D41" w:rsidRDefault="006A2D41" w:rsidP="006A2D41">
      <w:pPr>
        <w:spacing w:line="256" w:lineRule="auto"/>
        <w:jc w:val="both"/>
        <w:rPr>
          <w:rFonts w:ascii="Calibri" w:eastAsia="Calibri" w:hAnsi="Calibri" w:cs="Times New Roman"/>
        </w:rPr>
      </w:pPr>
    </w:p>
    <w:p w14:paraId="7BEFF38D" w14:textId="534989BA" w:rsidR="006A2D41" w:rsidRDefault="006A2D41" w:rsidP="00862E93">
      <w:pPr>
        <w:spacing w:line="256" w:lineRule="auto"/>
        <w:jc w:val="both"/>
        <w:rPr>
          <w:rFonts w:ascii="Calibri" w:eastAsia="Calibri" w:hAnsi="Calibri" w:cs="Times New Roman"/>
        </w:rPr>
      </w:pPr>
      <w:r w:rsidRPr="006A2D41">
        <w:rPr>
          <w:rFonts w:ascii="Calibri" w:eastAsia="Calibri" w:hAnsi="Calibri" w:cs="Times New Roman"/>
        </w:rPr>
        <w:t xml:space="preserve">La proximité est une valeur essentielle aux yeux des pouvoirs locaux. </w:t>
      </w:r>
      <w:proofErr w:type="gramStart"/>
      <w:r w:rsidRPr="006A2D41">
        <w:rPr>
          <w:rFonts w:ascii="Calibri" w:eastAsia="Calibri" w:hAnsi="Calibri" w:cs="Times New Roman"/>
        </w:rPr>
        <w:t>Un GRD</w:t>
      </w:r>
      <w:proofErr w:type="gramEnd"/>
      <w:r w:rsidRPr="006A2D41">
        <w:rPr>
          <w:rFonts w:ascii="Calibri" w:eastAsia="Calibri" w:hAnsi="Calibri" w:cs="Times New Roman"/>
        </w:rPr>
        <w:t xml:space="preserve"> doit pouvoir considérer chaque client, écouter ses attentes et ses besoins, les satisfaire par des solutions adaptées et innovantes.  La proximité implique réactivité et capacité d’adaptation. Dès lors, pourriez</w:t>
      </w:r>
      <w:r w:rsidR="002839B0">
        <w:rPr>
          <w:rFonts w:ascii="Calibri" w:eastAsia="Calibri" w:hAnsi="Calibri" w:cs="Times New Roman"/>
        </w:rPr>
        <w:t>-</w:t>
      </w:r>
      <w:r w:rsidRPr="006A2D41">
        <w:rPr>
          <w:rFonts w:ascii="Calibri" w:eastAsia="Calibri" w:hAnsi="Calibri" w:cs="Times New Roman"/>
        </w:rPr>
        <w:t>vous nous indiquer les différentes implantations techniques et/ou commerciales de votre GRD sur l’arrondissement dans lequel la</w:t>
      </w:r>
      <w:r w:rsidR="00995E64">
        <w:rPr>
          <w:rFonts w:ascii="Calibri" w:eastAsia="Calibri" w:hAnsi="Calibri" w:cs="Times New Roman"/>
        </w:rPr>
        <w:t xml:space="preserve"> Ville de Spa</w:t>
      </w:r>
      <w:r w:rsidRPr="006A2D41">
        <w:rPr>
          <w:rFonts w:ascii="Calibri" w:eastAsia="Calibri" w:hAnsi="Calibri" w:cs="Times New Roman"/>
        </w:rPr>
        <w:t xml:space="preserve"> </w:t>
      </w:r>
      <w:r w:rsidRPr="00581F28">
        <w:rPr>
          <w:rFonts w:ascii="Calibri" w:eastAsia="Calibri" w:hAnsi="Calibri" w:cs="Times New Roman"/>
        </w:rPr>
        <w:t>se situe.</w:t>
      </w:r>
      <w:r w:rsidRPr="006A2D41">
        <w:rPr>
          <w:rFonts w:ascii="Calibri" w:eastAsia="Calibri" w:hAnsi="Calibri" w:cs="Times New Roman"/>
        </w:rPr>
        <w:t xml:space="preserve"> </w:t>
      </w:r>
      <w:bookmarkEnd w:id="7"/>
    </w:p>
    <w:p w14:paraId="62845BB7" w14:textId="77777777" w:rsidR="00AB0E1E" w:rsidRPr="00AB0E1E" w:rsidRDefault="00AB0E1E" w:rsidP="00AB0E1E">
      <w:pPr>
        <w:spacing w:line="256" w:lineRule="auto"/>
        <w:jc w:val="both"/>
        <w:rPr>
          <w:rFonts w:ascii="Calibri" w:eastAsia="Calibri" w:hAnsi="Calibri" w:cs="Times New Roman"/>
        </w:rPr>
      </w:pPr>
      <w:r w:rsidRPr="00AB0E1E">
        <w:rPr>
          <w:rFonts w:ascii="Calibri" w:eastAsia="Calibri" w:hAnsi="Calibri" w:cs="Times New Roman"/>
        </w:rPr>
        <w:t>Indiquez quantitativement l’évolution de votre réseau électrique sur le territoire de la Ville de Spa vers un réseau enterré plutôt qu’aérien.</w:t>
      </w:r>
    </w:p>
    <w:p w14:paraId="238FE657" w14:textId="32FF9689" w:rsidR="00AB0E1E" w:rsidRDefault="00AB0E1E" w:rsidP="00862E93">
      <w:pPr>
        <w:spacing w:line="256" w:lineRule="auto"/>
        <w:jc w:val="both"/>
      </w:pPr>
    </w:p>
    <w:p w14:paraId="112F142F" w14:textId="0C9FF008" w:rsidR="00FF302F" w:rsidRPr="00586A0D" w:rsidRDefault="002C31D5" w:rsidP="00586A0D">
      <w:pPr>
        <w:pStyle w:val="Paragraphedeliste"/>
        <w:numPr>
          <w:ilvl w:val="1"/>
          <w:numId w:val="1"/>
        </w:numPr>
        <w:spacing w:after="0" w:line="256" w:lineRule="auto"/>
        <w:jc w:val="both"/>
        <w:rPr>
          <w:rFonts w:ascii="Calibri" w:eastAsia="Calibri" w:hAnsi="Calibri" w:cs="Times New Roman"/>
          <w:b/>
          <w:bCs/>
          <w:color w:val="4472C4" w:themeColor="accent1"/>
          <w:u w:val="single"/>
        </w:rPr>
      </w:pPr>
      <w:r w:rsidRPr="00586A0D">
        <w:rPr>
          <w:rFonts w:ascii="Calibri" w:eastAsia="Calibri" w:hAnsi="Calibri" w:cs="Times New Roman"/>
          <w:b/>
          <w:bCs/>
          <w:color w:val="4472C4" w:themeColor="accent1"/>
          <w:u w:val="single"/>
        </w:rPr>
        <w:t>Action pour la q</w:t>
      </w:r>
      <w:r w:rsidR="00FF302F" w:rsidRPr="00586A0D">
        <w:rPr>
          <w:rFonts w:ascii="Calibri" w:eastAsia="Calibri" w:hAnsi="Calibri" w:cs="Times New Roman"/>
          <w:b/>
          <w:bCs/>
          <w:color w:val="4472C4" w:themeColor="accent1"/>
          <w:u w:val="single"/>
        </w:rPr>
        <w:t>ualité de contact avec l</w:t>
      </w:r>
      <w:r w:rsidRPr="00586A0D">
        <w:rPr>
          <w:rFonts w:ascii="Calibri" w:eastAsia="Calibri" w:hAnsi="Calibri" w:cs="Times New Roman"/>
          <w:b/>
          <w:bCs/>
          <w:color w:val="4472C4" w:themeColor="accent1"/>
          <w:u w:val="single"/>
        </w:rPr>
        <w:t>a clientèle</w:t>
      </w:r>
    </w:p>
    <w:p w14:paraId="3EAC2EEE" w14:textId="77777777" w:rsidR="00FF302F" w:rsidRDefault="00FF302F" w:rsidP="00FF302F">
      <w:pPr>
        <w:spacing w:line="256" w:lineRule="auto"/>
        <w:jc w:val="both"/>
        <w:rPr>
          <w:rFonts w:ascii="Calibri" w:eastAsia="Calibri" w:hAnsi="Calibri" w:cs="Times New Roman"/>
        </w:rPr>
      </w:pPr>
    </w:p>
    <w:p w14:paraId="52A4C133" w14:textId="77777777" w:rsidR="00FF302F" w:rsidRDefault="00FF302F" w:rsidP="00FF302F">
      <w:pPr>
        <w:spacing w:line="256" w:lineRule="auto"/>
        <w:jc w:val="both"/>
        <w:rPr>
          <w:rFonts w:ascii="Calibri" w:eastAsia="Calibri" w:hAnsi="Calibri" w:cs="Times New Roman"/>
        </w:rPr>
      </w:pPr>
      <w:r w:rsidRPr="00FF302F">
        <w:rPr>
          <w:rFonts w:ascii="Calibri" w:eastAsia="Calibri" w:hAnsi="Calibri" w:cs="Times New Roman"/>
        </w:rPr>
        <w:t>Les candidats devront détailler les services qu’ils proposent aux usagers de leurs réseaux et ce, en précisant a minima :</w:t>
      </w:r>
    </w:p>
    <w:p w14:paraId="148ABB76" w14:textId="77777777" w:rsidR="00FF302F" w:rsidRDefault="00FF302F" w:rsidP="00FF302F">
      <w:pPr>
        <w:pStyle w:val="Paragraphedeliste"/>
        <w:numPr>
          <w:ilvl w:val="0"/>
          <w:numId w:val="11"/>
        </w:numPr>
        <w:spacing w:line="256" w:lineRule="auto"/>
        <w:jc w:val="both"/>
        <w:rPr>
          <w:rFonts w:ascii="Calibri" w:eastAsia="Calibri" w:hAnsi="Calibri" w:cs="Times New Roman"/>
        </w:rPr>
      </w:pPr>
      <w:r w:rsidRPr="00FF302F">
        <w:rPr>
          <w:rFonts w:ascii="Calibri" w:eastAsia="Calibri" w:hAnsi="Calibri" w:cs="Times New Roman"/>
        </w:rPr>
        <w:t>Les bureaux d’accueil accessibles pour les usagers ;</w:t>
      </w:r>
    </w:p>
    <w:p w14:paraId="020D9C17" w14:textId="77777777" w:rsidR="00FF302F" w:rsidRDefault="00FF302F" w:rsidP="00FF302F">
      <w:pPr>
        <w:pStyle w:val="Paragraphedeliste"/>
        <w:numPr>
          <w:ilvl w:val="0"/>
          <w:numId w:val="11"/>
        </w:numPr>
        <w:spacing w:line="256" w:lineRule="auto"/>
        <w:jc w:val="both"/>
        <w:rPr>
          <w:rFonts w:ascii="Calibri" w:eastAsia="Calibri" w:hAnsi="Calibri" w:cs="Times New Roman"/>
        </w:rPr>
      </w:pPr>
      <w:r w:rsidRPr="00FF302F">
        <w:rPr>
          <w:rFonts w:ascii="Calibri" w:eastAsia="Calibri" w:hAnsi="Calibri" w:cs="Times New Roman"/>
        </w:rPr>
        <w:t>Les créneaux horaires d’ouverture des bureaux d’accueil des usagers ;</w:t>
      </w:r>
    </w:p>
    <w:p w14:paraId="333DC1BC" w14:textId="15DAB2E4" w:rsidR="00FF302F" w:rsidRPr="00FF302F" w:rsidRDefault="00FF302F" w:rsidP="00FF302F">
      <w:pPr>
        <w:pStyle w:val="Paragraphedeliste"/>
        <w:numPr>
          <w:ilvl w:val="0"/>
          <w:numId w:val="11"/>
        </w:numPr>
        <w:spacing w:line="256" w:lineRule="auto"/>
        <w:jc w:val="both"/>
        <w:rPr>
          <w:rFonts w:ascii="Calibri" w:eastAsia="Calibri" w:hAnsi="Calibri" w:cs="Times New Roman"/>
        </w:rPr>
      </w:pPr>
      <w:r w:rsidRPr="00FF302F">
        <w:rPr>
          <w:rFonts w:ascii="Calibri" w:eastAsia="Calibri" w:hAnsi="Calibri" w:cs="Times New Roman"/>
        </w:rPr>
        <w:t>L’éventail des moyens de communication mis à disposition des utilisateurs</w:t>
      </w:r>
    </w:p>
    <w:p w14:paraId="123EE049" w14:textId="0A05396A" w:rsidR="00FF302F" w:rsidRDefault="00FF302F" w:rsidP="00862E93">
      <w:pPr>
        <w:spacing w:line="256" w:lineRule="auto"/>
        <w:jc w:val="both"/>
      </w:pPr>
    </w:p>
    <w:p w14:paraId="05785E78" w14:textId="77777777" w:rsidR="00FF302F" w:rsidRDefault="00FF302F" w:rsidP="00862E93">
      <w:pPr>
        <w:spacing w:line="256" w:lineRule="auto"/>
        <w:jc w:val="both"/>
      </w:pPr>
    </w:p>
    <w:sectPr w:rsidR="00FF30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DA01" w14:textId="77777777" w:rsidR="00D46DE5" w:rsidRDefault="00D46DE5" w:rsidP="00D46DE5">
      <w:pPr>
        <w:spacing w:after="0" w:line="240" w:lineRule="auto"/>
      </w:pPr>
      <w:r>
        <w:separator/>
      </w:r>
    </w:p>
  </w:endnote>
  <w:endnote w:type="continuationSeparator" w:id="0">
    <w:p w14:paraId="39AA2103" w14:textId="77777777" w:rsidR="00D46DE5" w:rsidRDefault="00D46DE5" w:rsidP="00D4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233B" w14:textId="77777777" w:rsidR="00D46DE5" w:rsidRDefault="00D46D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fr-FR"/>
      </w:rPr>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p>
  <w:p w14:paraId="462104A0" w14:textId="77777777" w:rsidR="00D46DE5" w:rsidRDefault="00D46D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E61B" w14:textId="77777777" w:rsidR="00D46DE5" w:rsidRDefault="00D46DE5" w:rsidP="00D46DE5">
      <w:pPr>
        <w:spacing w:after="0" w:line="240" w:lineRule="auto"/>
      </w:pPr>
      <w:r>
        <w:separator/>
      </w:r>
    </w:p>
  </w:footnote>
  <w:footnote w:type="continuationSeparator" w:id="0">
    <w:p w14:paraId="525148CA" w14:textId="77777777" w:rsidR="00D46DE5" w:rsidRDefault="00D46DE5" w:rsidP="00D46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7AA"/>
    <w:multiLevelType w:val="multilevel"/>
    <w:tmpl w:val="9D8A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F46D1"/>
    <w:multiLevelType w:val="hybridMultilevel"/>
    <w:tmpl w:val="02BE9E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D2019C"/>
    <w:multiLevelType w:val="hybridMultilevel"/>
    <w:tmpl w:val="4BF2FB66"/>
    <w:lvl w:ilvl="0" w:tplc="8886E74E">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CF2393"/>
    <w:multiLevelType w:val="multilevel"/>
    <w:tmpl w:val="E6587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B0044"/>
    <w:multiLevelType w:val="hybridMultilevel"/>
    <w:tmpl w:val="0A6AFFA4"/>
    <w:lvl w:ilvl="0" w:tplc="2BA01E70">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67E34BC"/>
    <w:multiLevelType w:val="hybridMultilevel"/>
    <w:tmpl w:val="3CBE9B0C"/>
    <w:lvl w:ilvl="0" w:tplc="4D123D94">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6" w15:restartNumberingAfterBreak="0">
    <w:nsid w:val="609D454F"/>
    <w:multiLevelType w:val="hybridMultilevel"/>
    <w:tmpl w:val="3D429F8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36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EC71167"/>
    <w:multiLevelType w:val="hybridMultilevel"/>
    <w:tmpl w:val="B2D65B52"/>
    <w:lvl w:ilvl="0" w:tplc="080C0019">
      <w:start w:val="1"/>
      <w:numFmt w:val="lowerLetter"/>
      <w:lvlText w:val="%1."/>
      <w:lvlJc w:val="left"/>
      <w:pPr>
        <w:ind w:left="1800" w:hanging="360"/>
      </w:p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8" w15:restartNumberingAfterBreak="0">
    <w:nsid w:val="73BD7C19"/>
    <w:multiLevelType w:val="hybridMultilevel"/>
    <w:tmpl w:val="8932C2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6056D4F"/>
    <w:multiLevelType w:val="hybridMultilevel"/>
    <w:tmpl w:val="A1D88BDE"/>
    <w:lvl w:ilvl="0" w:tplc="080C0019">
      <w:start w:val="1"/>
      <w:numFmt w:val="lowerLetter"/>
      <w:lvlText w:val="%1."/>
      <w:lvlJc w:val="left"/>
      <w:pPr>
        <w:ind w:left="1800" w:hanging="360"/>
      </w:p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8"/>
  </w:num>
  <w:num w:numId="6">
    <w:abstractNumId w:val="9"/>
  </w:num>
  <w:num w:numId="7">
    <w:abstractNumId w:val="3"/>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41"/>
    <w:rsid w:val="00021093"/>
    <w:rsid w:val="00031E62"/>
    <w:rsid w:val="000A2CF3"/>
    <w:rsid w:val="0016406C"/>
    <w:rsid w:val="001C3AF1"/>
    <w:rsid w:val="0020412A"/>
    <w:rsid w:val="002336D1"/>
    <w:rsid w:val="002638EC"/>
    <w:rsid w:val="002839B0"/>
    <w:rsid w:val="002C31D5"/>
    <w:rsid w:val="003265D9"/>
    <w:rsid w:val="003D0AC5"/>
    <w:rsid w:val="003E59E0"/>
    <w:rsid w:val="004275E3"/>
    <w:rsid w:val="004D3BB7"/>
    <w:rsid w:val="00504BCE"/>
    <w:rsid w:val="00514394"/>
    <w:rsid w:val="005364CA"/>
    <w:rsid w:val="0054228F"/>
    <w:rsid w:val="00581F28"/>
    <w:rsid w:val="00586A0D"/>
    <w:rsid w:val="005930FB"/>
    <w:rsid w:val="00645329"/>
    <w:rsid w:val="00655DB5"/>
    <w:rsid w:val="006777E8"/>
    <w:rsid w:val="0068281F"/>
    <w:rsid w:val="00695DD1"/>
    <w:rsid w:val="006A2D41"/>
    <w:rsid w:val="006C7196"/>
    <w:rsid w:val="006D4AA0"/>
    <w:rsid w:val="006D760F"/>
    <w:rsid w:val="00764589"/>
    <w:rsid w:val="00787DEB"/>
    <w:rsid w:val="007C0BD5"/>
    <w:rsid w:val="0082196B"/>
    <w:rsid w:val="00862E93"/>
    <w:rsid w:val="008D25E6"/>
    <w:rsid w:val="00960D5F"/>
    <w:rsid w:val="0096338A"/>
    <w:rsid w:val="00995E64"/>
    <w:rsid w:val="009B2DD8"/>
    <w:rsid w:val="009D1947"/>
    <w:rsid w:val="009D2E11"/>
    <w:rsid w:val="009D40AE"/>
    <w:rsid w:val="009F7955"/>
    <w:rsid w:val="00A8442A"/>
    <w:rsid w:val="00A97126"/>
    <w:rsid w:val="00AB0E1E"/>
    <w:rsid w:val="00AC790A"/>
    <w:rsid w:val="00B315EC"/>
    <w:rsid w:val="00BC0728"/>
    <w:rsid w:val="00C0295F"/>
    <w:rsid w:val="00C73A23"/>
    <w:rsid w:val="00C80767"/>
    <w:rsid w:val="00C854C6"/>
    <w:rsid w:val="00CC3D88"/>
    <w:rsid w:val="00CD6B29"/>
    <w:rsid w:val="00D3706F"/>
    <w:rsid w:val="00D46DE5"/>
    <w:rsid w:val="00D51785"/>
    <w:rsid w:val="00D55ED6"/>
    <w:rsid w:val="00D6139E"/>
    <w:rsid w:val="00D746CE"/>
    <w:rsid w:val="00D777B6"/>
    <w:rsid w:val="00E022D1"/>
    <w:rsid w:val="00E44F01"/>
    <w:rsid w:val="00EC1B13"/>
    <w:rsid w:val="00FF30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0512"/>
  <w15:chartTrackingRefBased/>
  <w15:docId w15:val="{D6429579-1401-4812-A63B-39A00EA1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6A2D41"/>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6A2D41"/>
    <w:rPr>
      <w:rFonts w:ascii="Calibri" w:eastAsia="Calibri" w:hAnsi="Calibri" w:cs="Times New Roman"/>
      <w:sz w:val="20"/>
      <w:szCs w:val="20"/>
    </w:rPr>
  </w:style>
  <w:style w:type="character" w:styleId="Marquedecommentaire">
    <w:name w:val="annotation reference"/>
    <w:basedOn w:val="Policepardfaut"/>
    <w:uiPriority w:val="99"/>
    <w:semiHidden/>
    <w:unhideWhenUsed/>
    <w:rsid w:val="006A2D41"/>
    <w:rPr>
      <w:sz w:val="16"/>
      <w:szCs w:val="16"/>
    </w:rPr>
  </w:style>
  <w:style w:type="table" w:styleId="Grilledutableau">
    <w:name w:val="Table Grid"/>
    <w:basedOn w:val="TableauNormal"/>
    <w:uiPriority w:val="39"/>
    <w:rsid w:val="006A2D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A2D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D41"/>
    <w:rPr>
      <w:rFonts w:ascii="Segoe UI" w:hAnsi="Segoe UI" w:cs="Segoe UI"/>
      <w:sz w:val="18"/>
      <w:szCs w:val="18"/>
    </w:rPr>
  </w:style>
  <w:style w:type="paragraph" w:styleId="Paragraphedeliste">
    <w:name w:val="List Paragraph"/>
    <w:basedOn w:val="Normal"/>
    <w:uiPriority w:val="34"/>
    <w:qFormat/>
    <w:rsid w:val="00655DB5"/>
    <w:pPr>
      <w:ind w:left="720"/>
      <w:contextualSpacing/>
    </w:pPr>
  </w:style>
  <w:style w:type="paragraph" w:styleId="Rvision">
    <w:name w:val="Revision"/>
    <w:hidden/>
    <w:uiPriority w:val="99"/>
    <w:semiHidden/>
    <w:rsid w:val="003D0AC5"/>
    <w:pPr>
      <w:spacing w:after="0" w:line="240" w:lineRule="auto"/>
    </w:pPr>
  </w:style>
  <w:style w:type="paragraph" w:styleId="Objetducommentaire">
    <w:name w:val="annotation subject"/>
    <w:basedOn w:val="Commentaire"/>
    <w:next w:val="Commentaire"/>
    <w:link w:val="ObjetducommentaireCar"/>
    <w:uiPriority w:val="99"/>
    <w:semiHidden/>
    <w:unhideWhenUsed/>
    <w:rsid w:val="003D0AC5"/>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3D0AC5"/>
    <w:rPr>
      <w:rFonts w:ascii="Calibri" w:eastAsia="Calibri" w:hAnsi="Calibri" w:cs="Times New Roman"/>
      <w:b/>
      <w:bCs/>
      <w:sz w:val="20"/>
      <w:szCs w:val="20"/>
    </w:rPr>
  </w:style>
  <w:style w:type="paragraph" w:styleId="En-tte">
    <w:name w:val="header"/>
    <w:basedOn w:val="Normal"/>
    <w:link w:val="En-tteCar"/>
    <w:uiPriority w:val="99"/>
    <w:unhideWhenUsed/>
    <w:rsid w:val="00D46DE5"/>
    <w:pPr>
      <w:tabs>
        <w:tab w:val="center" w:pos="4536"/>
        <w:tab w:val="right" w:pos="9072"/>
      </w:tabs>
      <w:spacing w:after="0" w:line="240" w:lineRule="auto"/>
    </w:pPr>
  </w:style>
  <w:style w:type="character" w:customStyle="1" w:styleId="En-tteCar">
    <w:name w:val="En-tête Car"/>
    <w:basedOn w:val="Policepardfaut"/>
    <w:link w:val="En-tte"/>
    <w:uiPriority w:val="99"/>
    <w:rsid w:val="00D46DE5"/>
  </w:style>
  <w:style w:type="paragraph" w:styleId="Pieddepage">
    <w:name w:val="footer"/>
    <w:basedOn w:val="Normal"/>
    <w:link w:val="PieddepageCar"/>
    <w:uiPriority w:val="99"/>
    <w:unhideWhenUsed/>
    <w:rsid w:val="00D46D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2859</Words>
  <Characters>15727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BOURLET Maxime</dc:creator>
  <cp:keywords/>
  <dc:description/>
  <cp:lastModifiedBy>Luc  de LAMALLE</cp:lastModifiedBy>
  <cp:revision>9</cp:revision>
  <dcterms:created xsi:type="dcterms:W3CDTF">2021-06-11T09:13:00Z</dcterms:created>
  <dcterms:modified xsi:type="dcterms:W3CDTF">2021-06-11T12:35:00Z</dcterms:modified>
</cp:coreProperties>
</file>